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A0D76">
      <w:pPr>
        <w:jc w:val="center"/>
        <w:rPr>
          <w:b/>
          <w:caps/>
        </w:rPr>
      </w:pPr>
      <w:r>
        <w:rPr>
          <w:b/>
          <w:caps/>
        </w:rPr>
        <w:t>Uchwała Nr XLVI/345/2022</w:t>
      </w:r>
      <w:r>
        <w:rPr>
          <w:b/>
          <w:caps/>
        </w:rPr>
        <w:br/>
        <w:t>Rady Gminy Lipno</w:t>
      </w:r>
    </w:p>
    <w:p w:rsidR="00A77B3E" w:rsidRDefault="008A0D76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8A0D76">
      <w:pPr>
        <w:keepNext/>
        <w:spacing w:after="480"/>
        <w:jc w:val="center"/>
      </w:pPr>
      <w:r>
        <w:rPr>
          <w:b/>
        </w:rPr>
        <w:t>w sprawie rozpatrzenia petycji</w:t>
      </w:r>
    </w:p>
    <w:p w:rsidR="00A77B3E" w:rsidRDefault="008A0D76">
      <w:pPr>
        <w:keepLines/>
        <w:spacing w:before="120" w:after="120"/>
        <w:ind w:firstLine="227"/>
      </w:pPr>
      <w:r>
        <w:t>Na podstawie art. 18b ust. 1 ustawy z dnia 8 marca 1990 r. o samorządzie gminnym (tekst jedn. Dz. U. z 2022 r. poz. 559 ) oraz art. 9 ust. 2 i art. 13 ust. 1 </w:t>
      </w:r>
      <w:r>
        <w:t>ustawy z dnia 11 lipca 2014 r. o petycjach (tekst jedn. Dz. U. z 2018 r. poz. 870) uchwala się, co następuje:</w:t>
      </w:r>
    </w:p>
    <w:p w:rsidR="00A77B3E" w:rsidRDefault="008A0D76">
      <w:pPr>
        <w:keepLines/>
        <w:spacing w:before="120" w:after="120"/>
        <w:ind w:firstLine="340"/>
      </w:pPr>
      <w:r>
        <w:rPr>
          <w:b/>
        </w:rPr>
        <w:t>§ 1. </w:t>
      </w:r>
      <w:r>
        <w:t>Uznaje się, że petycja złożona w interesie publicznym nie zasługuje na uwzględnienie, z przyczyn wskazanych w uzasadnieniu do uchwały stanowi</w:t>
      </w:r>
      <w:r>
        <w:t>ącym jej integralną część.</w:t>
      </w:r>
    </w:p>
    <w:p w:rsidR="00A77B3E" w:rsidRDefault="008A0D7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Lipno.</w:t>
      </w:r>
    </w:p>
    <w:p w:rsidR="00A77B3E" w:rsidRDefault="008A0D7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A0D7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641D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1D6" w:rsidRDefault="00F641D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1D6" w:rsidRDefault="008A0D7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F641D6" w:rsidRDefault="008A0D7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F641D6" w:rsidRDefault="008A0D76">
      <w:pPr>
        <w:spacing w:before="120" w:after="120"/>
        <w:rPr>
          <w:szCs w:val="20"/>
        </w:rPr>
      </w:pPr>
      <w:r>
        <w:rPr>
          <w:szCs w:val="20"/>
        </w:rPr>
        <w:t xml:space="preserve">Do Rady Gminy Lipno wpłynęła w dniu 11 stycznia 2022 r. petycja w interesie publicznym, w której wnoszący petycję zaoferował Radzie </w:t>
      </w:r>
      <w:r>
        <w:rPr>
          <w:szCs w:val="20"/>
        </w:rPr>
        <w:t>Gminy Lipno wsparcie w kwestii edukacji na temat stanu faktycznego dotyczącego COVID-19 w Polsce oraz wniósł o publiczne jej przeczytanie i przyjęcie przez Radę Gminy Lipno uchwały o treści w niej zawartej.</w:t>
      </w:r>
    </w:p>
    <w:p w:rsidR="00F641D6" w:rsidRDefault="008A0D76">
      <w:pPr>
        <w:spacing w:before="120" w:after="120"/>
        <w:rPr>
          <w:szCs w:val="20"/>
        </w:rPr>
      </w:pPr>
      <w:r>
        <w:rPr>
          <w:szCs w:val="20"/>
        </w:rPr>
        <w:t>Komisja Skarg, Wniosków i Petycji na swoim posied</w:t>
      </w:r>
      <w:r>
        <w:rPr>
          <w:szCs w:val="20"/>
        </w:rPr>
        <w:t>zeniu w dniu 7 lutego 2022 r. zapoznała się z przedmiotową petycją i ustaliła, co następuje:</w:t>
      </w:r>
    </w:p>
    <w:p w:rsidR="00F641D6" w:rsidRDefault="008A0D76">
      <w:pPr>
        <w:spacing w:before="120" w:after="120"/>
        <w:rPr>
          <w:szCs w:val="20"/>
        </w:rPr>
      </w:pPr>
      <w:r>
        <w:rPr>
          <w:szCs w:val="20"/>
        </w:rPr>
        <w:t>Wnoszący petycję zwrócił się do Rady Gminy Lipno o publiczne jej przeczytanie oraz podjęcie uchwały o treści w niej zawartej dotyczącej niepoddawania mieszkańców d</w:t>
      </w:r>
      <w:r>
        <w:rPr>
          <w:szCs w:val="20"/>
        </w:rPr>
        <w:t>ziałaniom dyskryminacyjnym ze względu na presję medialną, polityczną i społeczną w kontekście tzw. Narodowego Programu Szczepień, przeciwstawiania się próbom podziału mieszkańców na kategorię lepszą (zaszczepionych) i gorszą (niezaszczepionych), ograniczan</w:t>
      </w:r>
      <w:r>
        <w:rPr>
          <w:szCs w:val="20"/>
        </w:rPr>
        <w:t>ia przez pracodawców czy zleceniodawców możliwości awansu lub rozwoju zawodowego pracowników z powodu korzystania z przysługujących im z art. 32 i 39 Konstytucji praw, a także ich zatrudniania oraz ograniczanie korzystania z obiektów lub urządzeń użyteczno</w:t>
      </w:r>
      <w:r>
        <w:rPr>
          <w:szCs w:val="20"/>
        </w:rPr>
        <w:t>ści publicznej ze względu na niepoddanie się jakiemukolwiek dobrowolnemu zabiegowi czy procedurze medycznej.</w:t>
      </w:r>
    </w:p>
    <w:p w:rsidR="00F641D6" w:rsidRDefault="008A0D76">
      <w:pPr>
        <w:spacing w:before="120" w:after="120"/>
        <w:rPr>
          <w:szCs w:val="20"/>
        </w:rPr>
      </w:pPr>
      <w:r>
        <w:rPr>
          <w:szCs w:val="20"/>
        </w:rPr>
        <w:t>Podjęcie przez Radę Gminy Lipno uchwały o treści wskazanej przez wnoszącego petycję wykracza poza zakres działania Rady Gminy Lipno, która jako org</w:t>
      </w:r>
      <w:r>
        <w:rPr>
          <w:szCs w:val="20"/>
        </w:rPr>
        <w:t xml:space="preserve">an gminy działa na podstawie i w granicach prawa. Do kompetencji Rady Gminy Lipno nie należy rozstrzyganie w sprawach objętych żądaniem petycji dotyczących określania praw i obowiązków pracodawców, a także spraw szczepień przeciwko COVID-19, gdyż Narodowy </w:t>
      </w:r>
      <w:r>
        <w:rPr>
          <w:szCs w:val="20"/>
        </w:rPr>
        <w:t>Program Szczepień przeciw CODID-19 jest programem rządowym. Szczepienia przeciwko COVID-19 mają charakter dobrowolny, co powoduje, że jeśli ktoś ma wątpliwości co do działania szczepionki nie musi się zaszczepić. Do Rady Gminy Lipno nie wpłynęły dotychczas</w:t>
      </w:r>
      <w:r>
        <w:rPr>
          <w:szCs w:val="20"/>
        </w:rPr>
        <w:t xml:space="preserve"> żadne sygnały ze strony mieszkańców Gminy Lipno dotyczące ich dyskryminowania w kontekście Narodowego Programu Szczepień, w tym ograniczeń w zakresie praw pracowniczych.</w:t>
      </w:r>
    </w:p>
    <w:p w:rsidR="00F641D6" w:rsidRDefault="008A0D76">
      <w:pPr>
        <w:spacing w:before="120" w:after="120"/>
        <w:rPr>
          <w:color w:val="000000"/>
          <w:szCs w:val="20"/>
          <w:u w:color="000000"/>
        </w:rPr>
      </w:pPr>
      <w:r>
        <w:rPr>
          <w:szCs w:val="20"/>
        </w:rPr>
        <w:t>Do zakresu działania Rady Gminy Lipno nie należy także rozstrzyganie w zakresie uniem</w:t>
      </w:r>
      <w:r>
        <w:rPr>
          <w:szCs w:val="20"/>
        </w:rPr>
        <w:t>ożliwiającym korzystanie z gminnych obiektów i urządzeń użyteczności publicznej przez osoby, które nie poddały się jakiemukolwiek dobrowolnemu zabiegowi czy procedurze medycznej i w tym zakresie Rada Gminy Lipno nie podjęła żadnej uchwały. Zgodnie z przepi</w:t>
      </w:r>
      <w:r>
        <w:rPr>
          <w:szCs w:val="20"/>
        </w:rPr>
        <w:t>sami  </w:t>
      </w:r>
      <w:hyperlink r:id="rId7" w:history="1">
        <w:r>
          <w:rPr>
            <w:color w:val="0066CC"/>
            <w:szCs w:val="20"/>
            <w:u w:val="single" w:color="000000"/>
          </w:rPr>
          <w:t xml:space="preserve">art. 40 ust. 2 </w:t>
        </w:r>
        <w:proofErr w:type="spellStart"/>
        <w:r>
          <w:rPr>
            <w:color w:val="0066CC"/>
            <w:szCs w:val="20"/>
            <w:u w:val="single" w:color="000000"/>
          </w:rPr>
          <w:t>pkt</w:t>
        </w:r>
        <w:proofErr w:type="spellEnd"/>
        <w:r>
          <w:rPr>
            <w:color w:val="0066CC"/>
            <w:szCs w:val="20"/>
            <w:u w:val="single" w:color="000000"/>
          </w:rPr>
          <w:t xml:space="preserve"> 4</w:t>
        </w:r>
      </w:hyperlink>
      <w:r>
        <w:rPr>
          <w:color w:val="000000"/>
          <w:szCs w:val="20"/>
        </w:rPr>
        <w:t> </w:t>
      </w:r>
      <w:r>
        <w:rPr>
          <w:color w:val="000000"/>
          <w:szCs w:val="20"/>
          <w:u w:color="000000"/>
        </w:rPr>
        <w:t xml:space="preserve">  ustawy z dnia 8 marca 1990 r. o samorządzie gminnym (tekst jedn. Dz. U. z 2021 r. poz. 1372 ze zm. ), zwanej dalej </w:t>
      </w:r>
      <w:proofErr w:type="spellStart"/>
      <w:r>
        <w:rPr>
          <w:color w:val="000000"/>
          <w:szCs w:val="20"/>
          <w:u w:color="000000"/>
        </w:rPr>
        <w:t>u.s.g</w:t>
      </w:r>
      <w:proofErr w:type="spellEnd"/>
      <w:r>
        <w:rPr>
          <w:color w:val="000000"/>
          <w:szCs w:val="20"/>
          <w:u w:color="000000"/>
        </w:rPr>
        <w:t>. rada gminy jest uprawniona wyłącznie do uregulowania zasad i trybu korz</w:t>
      </w:r>
      <w:r>
        <w:rPr>
          <w:color w:val="000000"/>
          <w:szCs w:val="20"/>
          <w:u w:color="000000"/>
        </w:rPr>
        <w:t>ystania z gminnych obiektów i urządzeń użyteczności publicznej. W orzecznictwie sądów administracyjnych wskazuje się, że pojęcie "zasady i tryb korzystania" zawiera w sobie kompetencję organu stanowiącego gminy do formułowania w stosunku do terenów i urząd</w:t>
      </w:r>
      <w:r>
        <w:rPr>
          <w:color w:val="000000"/>
          <w:szCs w:val="20"/>
          <w:u w:color="000000"/>
        </w:rPr>
        <w:t xml:space="preserve">zeń użyteczności publicznej norm i zasad prawidłowego postępowania, ustalania obowiązujących reguł zachowania się, określenia ustalonego porządku zachowania się. Oznacza to w konsekwencji uprawnienie </w:t>
      </w:r>
      <w:proofErr w:type="spellStart"/>
      <w:r>
        <w:rPr>
          <w:color w:val="000000"/>
          <w:szCs w:val="20"/>
          <w:u w:color="000000"/>
        </w:rPr>
        <w:t>rady</w:t>
      </w:r>
      <w:proofErr w:type="spellEnd"/>
      <w:r>
        <w:rPr>
          <w:color w:val="000000"/>
          <w:szCs w:val="20"/>
          <w:u w:color="000000"/>
        </w:rPr>
        <w:t xml:space="preserve"> gminy do wprowadzenia reguł dotyczących obowiązując</w:t>
      </w:r>
      <w:r>
        <w:rPr>
          <w:color w:val="000000"/>
          <w:szCs w:val="20"/>
          <w:u w:color="000000"/>
        </w:rPr>
        <w:t>ego sposobu zachowania się podmiotów, które przebywają na terenach lub w obiektach o jakich mowa w </w:t>
      </w:r>
      <w:hyperlink r:id="rId8" w:history="1">
        <w:r>
          <w:rPr>
            <w:color w:val="0066CC"/>
            <w:szCs w:val="20"/>
            <w:u w:val="single" w:color="000000"/>
          </w:rPr>
          <w:t xml:space="preserve">art. 40 ust. 2 </w:t>
        </w:r>
        <w:proofErr w:type="spellStart"/>
        <w:r>
          <w:rPr>
            <w:color w:val="0066CC"/>
            <w:szCs w:val="20"/>
            <w:u w:val="single" w:color="000000"/>
          </w:rPr>
          <w:t>pkt</w:t>
        </w:r>
        <w:proofErr w:type="spellEnd"/>
        <w:r>
          <w:rPr>
            <w:color w:val="0066CC"/>
            <w:szCs w:val="20"/>
            <w:u w:val="single" w:color="000000"/>
          </w:rPr>
          <w:t xml:space="preserve"> 4</w:t>
        </w:r>
      </w:hyperlink>
      <w:r>
        <w:rPr>
          <w:color w:val="000000"/>
          <w:szCs w:val="20"/>
        </w:rPr>
        <w:t> </w:t>
      </w:r>
      <w:r>
        <w:rPr>
          <w:color w:val="000000"/>
          <w:szCs w:val="20"/>
          <w:u w:color="000000"/>
        </w:rPr>
        <w:t xml:space="preserve">  </w:t>
      </w:r>
      <w:proofErr w:type="spellStart"/>
      <w:r>
        <w:rPr>
          <w:color w:val="000000"/>
          <w:szCs w:val="20"/>
          <w:u w:color="000000"/>
        </w:rPr>
        <w:t>u.s.g</w:t>
      </w:r>
      <w:proofErr w:type="spellEnd"/>
      <w:r>
        <w:rPr>
          <w:color w:val="000000"/>
          <w:szCs w:val="20"/>
          <w:u w:color="000000"/>
        </w:rPr>
        <w:t>. (tak m.in. Wojewódzki Sąd Administracyjny w Gorzowie Wlkp. w wyroku z dnia 15 kwietnia 2010 r</w:t>
      </w:r>
      <w:r>
        <w:rPr>
          <w:color w:val="000000"/>
          <w:szCs w:val="20"/>
          <w:u w:color="000000"/>
        </w:rPr>
        <w:t>., sygn. akt II SA/Go 170/10).</w:t>
      </w:r>
    </w:p>
    <w:p w:rsidR="00F641D6" w:rsidRDefault="008A0D76">
      <w:pPr>
        <w:keepNext/>
        <w:keepLines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Uwzględniając powyższe Rada Gminy Lipno nie widzi zasadności uwzględnienia petycji poprzez zajęcie stanowiska o treści objętej żądaniem petycji.</w:t>
      </w:r>
    </w:p>
    <w:p w:rsidR="00F641D6" w:rsidRDefault="008A0D76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F641D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1D6" w:rsidRDefault="00F641D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1D6" w:rsidRDefault="00F641D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A0D76">
                <w:rPr>
                  <w:color w:val="000000"/>
                  <w:szCs w:val="20"/>
                </w:rPr>
                <w:t>Przewodniczący Rady Gminy Li</w:t>
              </w:r>
              <w:r w:rsidR="008A0D76">
                <w:rPr>
                  <w:color w:val="000000"/>
                  <w:szCs w:val="20"/>
                </w:rPr>
                <w:t>pno</w:t>
              </w:r>
            </w:fldSimple>
            <w:r w:rsidR="008A0D76">
              <w:rPr>
                <w:color w:val="000000"/>
                <w:szCs w:val="20"/>
              </w:rPr>
              <w:br/>
            </w:r>
            <w:r w:rsidR="008A0D76">
              <w:rPr>
                <w:color w:val="000000"/>
                <w:szCs w:val="20"/>
              </w:rPr>
              <w:br/>
            </w:r>
            <w:r w:rsidR="008A0D76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A0D76">
                <w:rPr>
                  <w:b/>
                  <w:color w:val="000000"/>
                  <w:szCs w:val="20"/>
                </w:rPr>
                <w:t>Bartosz</w:t>
              </w:r>
            </w:fldSimple>
            <w:r w:rsidR="008A0D76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A0D76">
                <w:rPr>
                  <w:b/>
                  <w:color w:val="000000"/>
                  <w:szCs w:val="20"/>
                </w:rPr>
                <w:t>Zięba</w:t>
              </w:r>
            </w:fldSimple>
            <w:r w:rsidR="008A0D76">
              <w:rPr>
                <w:b/>
                <w:color w:val="000000"/>
                <w:szCs w:val="20"/>
              </w:rPr>
              <w:t> </w:t>
            </w:r>
          </w:p>
        </w:tc>
      </w:tr>
    </w:tbl>
    <w:p w:rsidR="00F641D6" w:rsidRDefault="00F641D6">
      <w:pPr>
        <w:keepNext/>
        <w:rPr>
          <w:color w:val="000000"/>
          <w:szCs w:val="20"/>
          <w:u w:color="000000"/>
        </w:rPr>
      </w:pPr>
    </w:p>
    <w:sectPr w:rsidR="00F641D6" w:rsidSect="00F641D6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76" w:rsidRDefault="008A0D76" w:rsidP="00F641D6">
      <w:r>
        <w:separator/>
      </w:r>
    </w:p>
  </w:endnote>
  <w:endnote w:type="continuationSeparator" w:id="0">
    <w:p w:rsidR="008A0D76" w:rsidRDefault="008A0D76" w:rsidP="00F6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641D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41D6" w:rsidRDefault="008A0D7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41D6" w:rsidRDefault="008A0D7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641D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151F4">
            <w:rPr>
              <w:sz w:val="18"/>
            </w:rPr>
            <w:fldChar w:fldCharType="separate"/>
          </w:r>
          <w:r w:rsidR="002151F4">
            <w:rPr>
              <w:noProof/>
              <w:sz w:val="18"/>
            </w:rPr>
            <w:t>1</w:t>
          </w:r>
          <w:r w:rsidR="00F641D6">
            <w:rPr>
              <w:sz w:val="18"/>
            </w:rPr>
            <w:fldChar w:fldCharType="end"/>
          </w:r>
        </w:p>
      </w:tc>
    </w:tr>
  </w:tbl>
  <w:p w:rsidR="00F641D6" w:rsidRDefault="00F641D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641D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41D6" w:rsidRDefault="008A0D7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41D6" w:rsidRDefault="008A0D7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641D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151F4">
            <w:rPr>
              <w:sz w:val="18"/>
            </w:rPr>
            <w:fldChar w:fldCharType="separate"/>
          </w:r>
          <w:r w:rsidR="002151F4">
            <w:rPr>
              <w:noProof/>
              <w:sz w:val="18"/>
            </w:rPr>
            <w:t>2</w:t>
          </w:r>
          <w:r w:rsidR="00F641D6">
            <w:rPr>
              <w:sz w:val="18"/>
            </w:rPr>
            <w:fldChar w:fldCharType="end"/>
          </w:r>
        </w:p>
      </w:tc>
    </w:tr>
  </w:tbl>
  <w:p w:rsidR="00F641D6" w:rsidRDefault="00F641D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76" w:rsidRDefault="008A0D76" w:rsidP="00F641D6">
      <w:r>
        <w:separator/>
      </w:r>
    </w:p>
  </w:footnote>
  <w:footnote w:type="continuationSeparator" w:id="0">
    <w:p w:rsidR="008A0D76" w:rsidRDefault="008A0D76" w:rsidP="00F64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151F4"/>
    <w:rsid w:val="008A0D76"/>
    <w:rsid w:val="00A77B3E"/>
    <w:rsid w:val="00CA2A55"/>
    <w:rsid w:val="00F6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41D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4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XLVI/345/2022 z dnia 24 marca 2022 r.</dc:title>
  <dc:subject>w sprawie rozpatrzenia petycji</dc:subject>
  <dc:creator>ibieganska</dc:creator>
  <cp:lastModifiedBy>Irena Biegańska</cp:lastModifiedBy>
  <cp:revision>2</cp:revision>
  <dcterms:created xsi:type="dcterms:W3CDTF">2022-03-30T07:58:00Z</dcterms:created>
  <dcterms:modified xsi:type="dcterms:W3CDTF">2022-03-30T07:58:00Z</dcterms:modified>
  <cp:category>Akt prawny</cp:category>
</cp:coreProperties>
</file>