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AF4DE4">
      <w:pPr>
        <w:jc w:val="center"/>
        <w:rPr>
          <w:b/>
          <w:caps/>
        </w:rPr>
      </w:pPr>
      <w:r>
        <w:rPr>
          <w:b/>
          <w:caps/>
        </w:rPr>
        <w:t>Uchwała Nr LIV/ 389/ 2022</w:t>
      </w:r>
      <w:r>
        <w:rPr>
          <w:b/>
          <w:caps/>
        </w:rPr>
        <w:br/>
        <w:t>Rady Gminy Lipno</w:t>
      </w:r>
    </w:p>
    <w:p w:rsidR="00A77B3E" w:rsidRDefault="00AF4DE4">
      <w:pPr>
        <w:spacing w:before="280" w:after="280"/>
        <w:jc w:val="center"/>
        <w:rPr>
          <w:b/>
          <w:caps/>
        </w:rPr>
      </w:pPr>
      <w:r>
        <w:t>z dnia 29 września 2022 r.</w:t>
      </w:r>
    </w:p>
    <w:p w:rsidR="00A77B3E" w:rsidRDefault="00AF4DE4">
      <w:pPr>
        <w:keepNext/>
        <w:spacing w:after="480"/>
        <w:jc w:val="center"/>
      </w:pPr>
      <w:r>
        <w:rPr>
          <w:b/>
        </w:rPr>
        <w:t>w sprawie zmiany uchwały w sprawie Regulaminu wygradzania nauczycieli jednostek oświatowych, dla których organem prowadzącym jest Gmina Lipno</w:t>
      </w:r>
    </w:p>
    <w:p w:rsidR="00A77B3E" w:rsidRDefault="00AF4DE4">
      <w:pPr>
        <w:keepLines/>
        <w:spacing w:before="120" w:after="120"/>
        <w:ind w:firstLine="227"/>
      </w:pPr>
      <w:r>
        <w:t>Na podstawie art. 18 ust. 2 </w:t>
      </w:r>
      <w:proofErr w:type="spellStart"/>
      <w:r>
        <w:t>pkt</w:t>
      </w:r>
      <w:proofErr w:type="spellEnd"/>
      <w:r>
        <w:t> 15 ustawy z</w:t>
      </w:r>
      <w:r>
        <w:t xml:space="preserve"> dnia 8 marca 1990 r. o samorządzie gminnym (tekst jedn. Dz. U. z 2022 r. poz. 559 ze zm.) oraz art. 30 ust. 6, w związku z art. 91d </w:t>
      </w:r>
      <w:proofErr w:type="spellStart"/>
      <w:r>
        <w:t>pkt</w:t>
      </w:r>
      <w:proofErr w:type="spellEnd"/>
      <w:r>
        <w:t> 1 ustawy z dnia 26 stycznia 1982 r. Karta Nauczyciela (tekst jedn. Dz. U. z 2021 r. poz. 1762 ze zm.) uchwala się, co n</w:t>
      </w:r>
      <w:r>
        <w:t>astępuje:</w:t>
      </w:r>
    </w:p>
    <w:p w:rsidR="00A77B3E" w:rsidRDefault="00AF4DE4">
      <w:pPr>
        <w:keepLines/>
        <w:spacing w:before="120" w:after="120"/>
        <w:ind w:firstLine="340"/>
      </w:pPr>
      <w:r>
        <w:rPr>
          <w:b/>
        </w:rPr>
        <w:t>§ 1. </w:t>
      </w:r>
      <w:r>
        <w:t>W uchwale Nr XXVII/214/2020 Rady Gminy Lipno z dnia 21 października 2020 r. w sprawie Regulaminu wynagradzania nauczycieli jednostek oświatowych, dla których organem prowadzącym jest Gmina Lipno (Dz. Urz. Woj. Wielkopolskiego z 2020 r. poz. </w:t>
      </w:r>
      <w:r>
        <w:t>8034) wprowadza się następujące zmiany:</w:t>
      </w:r>
    </w:p>
    <w:p w:rsidR="00A77B3E" w:rsidRDefault="00AF4DE4">
      <w:pPr>
        <w:spacing w:before="120" w:after="120"/>
        <w:ind w:left="340" w:hanging="227"/>
      </w:pPr>
      <w:r>
        <w:t>1) </w:t>
      </w:r>
      <w:r>
        <w:t>w § 8 ust. 1 otrzymuje brzmienie:</w:t>
      </w:r>
    </w:p>
    <w:p w:rsidR="00A77B3E" w:rsidRDefault="00AF4DE4">
      <w:pPr>
        <w:keepLines/>
        <w:spacing w:before="120" w:after="120"/>
        <w:ind w:left="453" w:firstLine="227"/>
      </w:pPr>
      <w:r>
        <w:t>„</w:t>
      </w:r>
      <w:r>
        <w:t>1. </w:t>
      </w:r>
      <w:r>
        <w:t>Dodatek funkcyjny przysługuje:</w:t>
      </w:r>
    </w:p>
    <w:p w:rsidR="00A77B3E" w:rsidRDefault="00AF4DE4">
      <w:pPr>
        <w:spacing w:before="120" w:after="120"/>
        <w:ind w:left="793" w:hanging="227"/>
      </w:pPr>
      <w:r>
        <w:t>1) </w:t>
      </w:r>
      <w:r>
        <w:t>dyrektorowi i wicedyrektorowi jednostki;</w:t>
      </w:r>
    </w:p>
    <w:p w:rsidR="00A77B3E" w:rsidRDefault="00AF4DE4">
      <w:pPr>
        <w:spacing w:before="120" w:after="120"/>
        <w:ind w:left="793" w:hanging="227"/>
      </w:pPr>
      <w:r>
        <w:t>2) </w:t>
      </w:r>
      <w:r>
        <w:t>wychowawcy klasy;</w:t>
      </w:r>
    </w:p>
    <w:p w:rsidR="00A77B3E" w:rsidRDefault="00AF4DE4">
      <w:pPr>
        <w:spacing w:before="120" w:after="120"/>
        <w:ind w:left="793" w:hanging="227"/>
      </w:pPr>
      <w:r>
        <w:t>3) </w:t>
      </w:r>
      <w:r>
        <w:t>nauczycielowi, któremu powierzono opiekę nad oddziałem przedszkolnym;</w:t>
      </w:r>
    </w:p>
    <w:p w:rsidR="00A77B3E" w:rsidRDefault="00AF4DE4">
      <w:pPr>
        <w:spacing w:before="120" w:after="120"/>
        <w:ind w:left="793" w:hanging="227"/>
      </w:pPr>
      <w:r>
        <w:t>4) </w:t>
      </w:r>
      <w:r>
        <w:t>opi</w:t>
      </w:r>
      <w:r>
        <w:t>ekunowi stażu;</w:t>
      </w:r>
    </w:p>
    <w:p w:rsidR="00A77B3E" w:rsidRDefault="00AF4DE4">
      <w:pPr>
        <w:spacing w:before="120" w:after="120"/>
        <w:ind w:left="793" w:hanging="227"/>
      </w:pPr>
      <w:r>
        <w:t>5) </w:t>
      </w:r>
      <w:r>
        <w:t>mentorowi;</w:t>
      </w:r>
    </w:p>
    <w:p w:rsidR="00A77B3E" w:rsidRDefault="00AF4DE4">
      <w:pPr>
        <w:spacing w:before="120" w:after="120"/>
        <w:ind w:left="793" w:hanging="227"/>
      </w:pPr>
      <w:r>
        <w:t>6) </w:t>
      </w:r>
      <w:r>
        <w:t>doradcy metodycznemu, nauczycielowi - konsultantowi.</w:t>
      </w:r>
      <w:r>
        <w:t>”</w:t>
      </w:r>
      <w:r>
        <w:t>;</w:t>
      </w:r>
    </w:p>
    <w:p w:rsidR="00A77B3E" w:rsidRDefault="00AF4DE4">
      <w:pPr>
        <w:spacing w:before="120" w:after="120"/>
        <w:ind w:left="340" w:hanging="227"/>
      </w:pPr>
      <w:r>
        <w:t>2) </w:t>
      </w:r>
      <w:r>
        <w:t>§ 10 otrzymuje brzmienie:</w:t>
      </w:r>
    </w:p>
    <w:p w:rsidR="00A77B3E" w:rsidRDefault="00AF4DE4">
      <w:pPr>
        <w:keepLines/>
        <w:spacing w:before="120" w:after="120"/>
        <w:ind w:left="453" w:firstLine="227"/>
      </w:pPr>
      <w:r>
        <w:t>„</w:t>
      </w:r>
      <w:r>
        <w:t>§ 10. </w:t>
      </w:r>
      <w:r>
        <w:t>Wysokość dodatku funkcyjnego określa poniższa tabela: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5419"/>
        <w:gridCol w:w="3899"/>
      </w:tblGrid>
      <w:tr w:rsidR="0067242E">
        <w:tc>
          <w:tcPr>
            <w:tcW w:w="788" w:type="dxa"/>
            <w:tcBorders>
              <w:top w:val="single" w:sz="4" w:space="0" w:color="auto"/>
              <w:left w:val="single" w:sz="2" w:space="0" w:color="auto"/>
              <w:bottom w:val="single" w:sz="2" w:space="0" w:color="auto"/>
              <w:right w:val="single" w:sz="2" w:space="0" w:color="auto"/>
            </w:tcBorders>
            <w:tcMar>
              <w:top w:w="100" w:type="dxa"/>
            </w:tcMar>
          </w:tcPr>
          <w:p w:rsidR="00A77B3E" w:rsidRDefault="00AF4DE4">
            <w:pPr>
              <w:jc w:val="center"/>
            </w:pPr>
            <w:r>
              <w:t>Lp.</w:t>
            </w:r>
          </w:p>
        </w:tc>
        <w:tc>
          <w:tcPr>
            <w:tcW w:w="5650" w:type="dxa"/>
            <w:tcBorders>
              <w:top w:val="single" w:sz="4" w:space="0" w:color="auto"/>
              <w:left w:val="single" w:sz="2" w:space="0" w:color="auto"/>
              <w:bottom w:val="single" w:sz="2" w:space="0" w:color="auto"/>
              <w:right w:val="single" w:sz="2" w:space="0" w:color="auto"/>
            </w:tcBorders>
            <w:tcMar>
              <w:top w:w="100" w:type="dxa"/>
            </w:tcMar>
          </w:tcPr>
          <w:p w:rsidR="00A77B3E" w:rsidRDefault="00AF4DE4">
            <w:pPr>
              <w:jc w:val="center"/>
            </w:pPr>
            <w:r>
              <w:t>Stanowisko funkcyjne</w:t>
            </w:r>
          </w:p>
        </w:tc>
        <w:tc>
          <w:tcPr>
            <w:tcW w:w="4062" w:type="dxa"/>
            <w:tcBorders>
              <w:top w:val="single" w:sz="4" w:space="0" w:color="auto"/>
              <w:left w:val="single" w:sz="2" w:space="0" w:color="auto"/>
              <w:bottom w:val="single" w:sz="2" w:space="0" w:color="auto"/>
              <w:right w:val="single" w:sz="2" w:space="0" w:color="auto"/>
            </w:tcBorders>
            <w:tcMar>
              <w:top w:w="100" w:type="dxa"/>
            </w:tcMar>
          </w:tcPr>
          <w:p w:rsidR="00A77B3E" w:rsidRDefault="00AF4DE4">
            <w:pPr>
              <w:jc w:val="center"/>
            </w:pPr>
            <w:r>
              <w:t>Wysokość dodatku funkcyjnego</w:t>
            </w:r>
          </w:p>
          <w:p w:rsidR="0067242E" w:rsidRDefault="00AF4DE4">
            <w:pPr>
              <w:jc w:val="center"/>
            </w:pPr>
            <w:r>
              <w:t xml:space="preserve">(% wynagrodzenia </w:t>
            </w:r>
            <w:r>
              <w:t>zasadniczego)</w:t>
            </w:r>
          </w:p>
        </w:tc>
      </w:tr>
      <w:tr w:rsidR="0067242E">
        <w:tc>
          <w:tcPr>
            <w:tcW w:w="788" w:type="dxa"/>
            <w:vMerge w:val="restart"/>
            <w:tcBorders>
              <w:top w:val="single" w:sz="4" w:space="0" w:color="auto"/>
              <w:left w:val="single" w:sz="2" w:space="0" w:color="auto"/>
              <w:bottom w:val="single" w:sz="2" w:space="0" w:color="auto"/>
              <w:right w:val="single" w:sz="2" w:space="0" w:color="auto"/>
            </w:tcBorders>
            <w:tcMar>
              <w:top w:w="100" w:type="dxa"/>
            </w:tcMar>
          </w:tcPr>
          <w:p w:rsidR="00A77B3E" w:rsidRDefault="00AF4DE4">
            <w:pPr>
              <w:jc w:val="center"/>
            </w:pPr>
            <w:r>
              <w:t>1.</w:t>
            </w:r>
          </w:p>
        </w:tc>
        <w:tc>
          <w:tcPr>
            <w:tcW w:w="5650" w:type="dxa"/>
            <w:tcBorders>
              <w:top w:val="single" w:sz="4" w:space="0" w:color="auto"/>
              <w:left w:val="single" w:sz="2" w:space="0" w:color="auto"/>
              <w:bottom w:val="single" w:sz="2" w:space="0" w:color="auto"/>
              <w:right w:val="single" w:sz="2" w:space="0" w:color="auto"/>
            </w:tcBorders>
            <w:tcMar>
              <w:top w:w="100" w:type="dxa"/>
            </w:tcMar>
          </w:tcPr>
          <w:p w:rsidR="00A77B3E" w:rsidRDefault="00AF4DE4">
            <w:r>
              <w:t>dyrektor jednostki</w:t>
            </w:r>
          </w:p>
        </w:tc>
        <w:tc>
          <w:tcPr>
            <w:tcW w:w="4062" w:type="dxa"/>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center"/>
            </w:pPr>
          </w:p>
        </w:tc>
      </w:tr>
      <w:tr w:rsidR="0067242E">
        <w:tc>
          <w:tcPr>
            <w:tcW w:w="788" w:type="dxa"/>
            <w:vMerge/>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center"/>
            </w:pPr>
          </w:p>
        </w:tc>
        <w:tc>
          <w:tcPr>
            <w:tcW w:w="5650" w:type="dxa"/>
            <w:tcBorders>
              <w:top w:val="single" w:sz="4" w:space="0" w:color="auto"/>
              <w:left w:val="single" w:sz="2" w:space="0" w:color="auto"/>
              <w:bottom w:val="single" w:sz="2" w:space="0" w:color="auto"/>
              <w:right w:val="single" w:sz="2" w:space="0" w:color="auto"/>
            </w:tcBorders>
            <w:tcMar>
              <w:top w:w="100" w:type="dxa"/>
            </w:tcMar>
          </w:tcPr>
          <w:p w:rsidR="00A77B3E" w:rsidRDefault="00AF4DE4">
            <w:r>
              <w:t xml:space="preserve">a) liczącej do 8 oddziałów </w:t>
            </w:r>
          </w:p>
        </w:tc>
        <w:tc>
          <w:tcPr>
            <w:tcW w:w="4062" w:type="dxa"/>
            <w:tcBorders>
              <w:top w:val="single" w:sz="4" w:space="0" w:color="auto"/>
              <w:left w:val="single" w:sz="2" w:space="0" w:color="auto"/>
              <w:bottom w:val="single" w:sz="2" w:space="0" w:color="auto"/>
              <w:right w:val="single" w:sz="2" w:space="0" w:color="auto"/>
            </w:tcBorders>
            <w:tcMar>
              <w:top w:w="100" w:type="dxa"/>
            </w:tcMar>
          </w:tcPr>
          <w:p w:rsidR="00A77B3E" w:rsidRDefault="00AF4DE4">
            <w:pPr>
              <w:jc w:val="center"/>
            </w:pPr>
            <w:r>
              <w:t>5% - 30%</w:t>
            </w:r>
          </w:p>
        </w:tc>
      </w:tr>
      <w:tr w:rsidR="0067242E">
        <w:tc>
          <w:tcPr>
            <w:tcW w:w="788" w:type="dxa"/>
            <w:vMerge/>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center"/>
            </w:pPr>
          </w:p>
        </w:tc>
        <w:tc>
          <w:tcPr>
            <w:tcW w:w="5650" w:type="dxa"/>
            <w:tcBorders>
              <w:top w:val="single" w:sz="4" w:space="0" w:color="auto"/>
              <w:left w:val="single" w:sz="2" w:space="0" w:color="auto"/>
              <w:bottom w:val="single" w:sz="2" w:space="0" w:color="auto"/>
              <w:right w:val="single" w:sz="2" w:space="0" w:color="auto"/>
            </w:tcBorders>
            <w:tcMar>
              <w:top w:w="100" w:type="dxa"/>
            </w:tcMar>
          </w:tcPr>
          <w:p w:rsidR="00A77B3E" w:rsidRDefault="00AF4DE4">
            <w:r>
              <w:t xml:space="preserve">b) liczącej 9-12 oddziałów </w:t>
            </w:r>
          </w:p>
        </w:tc>
        <w:tc>
          <w:tcPr>
            <w:tcW w:w="4062" w:type="dxa"/>
            <w:tcBorders>
              <w:top w:val="single" w:sz="4" w:space="0" w:color="auto"/>
              <w:left w:val="single" w:sz="2" w:space="0" w:color="auto"/>
              <w:bottom w:val="single" w:sz="2" w:space="0" w:color="auto"/>
              <w:right w:val="single" w:sz="2" w:space="0" w:color="auto"/>
            </w:tcBorders>
            <w:tcMar>
              <w:top w:w="100" w:type="dxa"/>
            </w:tcMar>
          </w:tcPr>
          <w:p w:rsidR="00A77B3E" w:rsidRDefault="00AF4DE4">
            <w:pPr>
              <w:jc w:val="center"/>
            </w:pPr>
            <w:r>
              <w:t>10% - 40%</w:t>
            </w:r>
          </w:p>
        </w:tc>
      </w:tr>
      <w:tr w:rsidR="0067242E">
        <w:tc>
          <w:tcPr>
            <w:tcW w:w="788" w:type="dxa"/>
            <w:vMerge/>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center"/>
            </w:pPr>
          </w:p>
        </w:tc>
        <w:tc>
          <w:tcPr>
            <w:tcW w:w="5650" w:type="dxa"/>
            <w:tcBorders>
              <w:top w:val="single" w:sz="4" w:space="0" w:color="auto"/>
              <w:left w:val="single" w:sz="2" w:space="0" w:color="auto"/>
              <w:bottom w:val="single" w:sz="2" w:space="0" w:color="auto"/>
              <w:right w:val="single" w:sz="2" w:space="0" w:color="auto"/>
            </w:tcBorders>
            <w:tcMar>
              <w:top w:w="100" w:type="dxa"/>
            </w:tcMar>
          </w:tcPr>
          <w:p w:rsidR="00A77B3E" w:rsidRDefault="00AF4DE4">
            <w:r>
              <w:t xml:space="preserve">c) liczącej 13 i więcej oddziałów </w:t>
            </w:r>
          </w:p>
        </w:tc>
        <w:tc>
          <w:tcPr>
            <w:tcW w:w="4062" w:type="dxa"/>
            <w:tcBorders>
              <w:top w:val="single" w:sz="4" w:space="0" w:color="auto"/>
              <w:left w:val="single" w:sz="2" w:space="0" w:color="auto"/>
              <w:bottom w:val="single" w:sz="2" w:space="0" w:color="auto"/>
              <w:right w:val="single" w:sz="2" w:space="0" w:color="auto"/>
            </w:tcBorders>
            <w:tcMar>
              <w:top w:w="100" w:type="dxa"/>
            </w:tcMar>
          </w:tcPr>
          <w:p w:rsidR="00A77B3E" w:rsidRDefault="00AF4DE4">
            <w:pPr>
              <w:jc w:val="center"/>
            </w:pPr>
            <w:r>
              <w:t>15% - 50%</w:t>
            </w:r>
          </w:p>
        </w:tc>
      </w:tr>
      <w:tr w:rsidR="0067242E">
        <w:tc>
          <w:tcPr>
            <w:tcW w:w="788" w:type="dxa"/>
            <w:vMerge w:val="restart"/>
            <w:tcBorders>
              <w:top w:val="single" w:sz="4" w:space="0" w:color="auto"/>
              <w:left w:val="single" w:sz="2" w:space="0" w:color="auto"/>
              <w:bottom w:val="single" w:sz="2" w:space="0" w:color="auto"/>
              <w:right w:val="single" w:sz="2" w:space="0" w:color="auto"/>
            </w:tcBorders>
            <w:tcMar>
              <w:top w:w="100" w:type="dxa"/>
            </w:tcMar>
          </w:tcPr>
          <w:p w:rsidR="00A77B3E" w:rsidRDefault="00AF4DE4">
            <w:pPr>
              <w:jc w:val="center"/>
            </w:pPr>
            <w:r>
              <w:t>2.</w:t>
            </w:r>
          </w:p>
        </w:tc>
        <w:tc>
          <w:tcPr>
            <w:tcW w:w="5650" w:type="dxa"/>
            <w:tcBorders>
              <w:top w:val="single" w:sz="4" w:space="0" w:color="auto"/>
              <w:left w:val="single" w:sz="2" w:space="0" w:color="auto"/>
              <w:bottom w:val="single" w:sz="2" w:space="0" w:color="auto"/>
              <w:right w:val="single" w:sz="2" w:space="0" w:color="auto"/>
            </w:tcBorders>
            <w:tcMar>
              <w:top w:w="100" w:type="dxa"/>
            </w:tcMar>
          </w:tcPr>
          <w:p w:rsidR="00A77B3E" w:rsidRDefault="00AF4DE4">
            <w:r>
              <w:t>wicedyrektor jednostki:</w:t>
            </w:r>
          </w:p>
        </w:tc>
        <w:tc>
          <w:tcPr>
            <w:tcW w:w="4062" w:type="dxa"/>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center"/>
            </w:pPr>
          </w:p>
        </w:tc>
      </w:tr>
      <w:tr w:rsidR="0067242E">
        <w:tc>
          <w:tcPr>
            <w:tcW w:w="788" w:type="dxa"/>
            <w:vMerge/>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center"/>
            </w:pPr>
          </w:p>
        </w:tc>
        <w:tc>
          <w:tcPr>
            <w:tcW w:w="5650" w:type="dxa"/>
            <w:tcBorders>
              <w:top w:val="single" w:sz="4" w:space="0" w:color="auto"/>
              <w:left w:val="single" w:sz="2" w:space="0" w:color="auto"/>
              <w:bottom w:val="single" w:sz="2" w:space="0" w:color="auto"/>
              <w:right w:val="single" w:sz="2" w:space="0" w:color="auto"/>
            </w:tcBorders>
            <w:tcMar>
              <w:top w:w="100" w:type="dxa"/>
            </w:tcMar>
          </w:tcPr>
          <w:p w:rsidR="00A77B3E" w:rsidRDefault="00AF4DE4">
            <w:r>
              <w:t xml:space="preserve">a) liczącej do 15 oddziałów </w:t>
            </w:r>
          </w:p>
        </w:tc>
        <w:tc>
          <w:tcPr>
            <w:tcW w:w="4062" w:type="dxa"/>
            <w:tcBorders>
              <w:top w:val="single" w:sz="4" w:space="0" w:color="auto"/>
              <w:left w:val="single" w:sz="2" w:space="0" w:color="auto"/>
              <w:bottom w:val="single" w:sz="2" w:space="0" w:color="auto"/>
              <w:right w:val="single" w:sz="2" w:space="0" w:color="auto"/>
            </w:tcBorders>
            <w:tcMar>
              <w:top w:w="100" w:type="dxa"/>
            </w:tcMar>
          </w:tcPr>
          <w:p w:rsidR="00A77B3E" w:rsidRDefault="00AF4DE4">
            <w:pPr>
              <w:jc w:val="center"/>
            </w:pPr>
            <w:r>
              <w:t>5% - 20%</w:t>
            </w:r>
          </w:p>
        </w:tc>
      </w:tr>
      <w:tr w:rsidR="0067242E">
        <w:tc>
          <w:tcPr>
            <w:tcW w:w="788" w:type="dxa"/>
            <w:vMerge/>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center"/>
            </w:pPr>
          </w:p>
        </w:tc>
        <w:tc>
          <w:tcPr>
            <w:tcW w:w="5650" w:type="dxa"/>
            <w:tcBorders>
              <w:top w:val="single" w:sz="4" w:space="0" w:color="auto"/>
              <w:left w:val="single" w:sz="2" w:space="0" w:color="auto"/>
              <w:bottom w:val="single" w:sz="2" w:space="0" w:color="auto"/>
              <w:right w:val="single" w:sz="2" w:space="0" w:color="auto"/>
            </w:tcBorders>
            <w:tcMar>
              <w:top w:w="100" w:type="dxa"/>
            </w:tcMar>
          </w:tcPr>
          <w:p w:rsidR="00A77B3E" w:rsidRDefault="00AF4DE4">
            <w:r>
              <w:t xml:space="preserve">b) liczącej 16 i więcej oddziałów </w:t>
            </w:r>
          </w:p>
        </w:tc>
        <w:tc>
          <w:tcPr>
            <w:tcW w:w="4062" w:type="dxa"/>
            <w:tcBorders>
              <w:top w:val="single" w:sz="4" w:space="0" w:color="auto"/>
              <w:left w:val="single" w:sz="2" w:space="0" w:color="auto"/>
              <w:bottom w:val="single" w:sz="2" w:space="0" w:color="auto"/>
              <w:right w:val="single" w:sz="2" w:space="0" w:color="auto"/>
            </w:tcBorders>
            <w:tcMar>
              <w:top w:w="100" w:type="dxa"/>
            </w:tcMar>
          </w:tcPr>
          <w:p w:rsidR="00A77B3E" w:rsidRDefault="00AF4DE4">
            <w:pPr>
              <w:jc w:val="center"/>
            </w:pPr>
            <w:r>
              <w:t>5% - 30%</w:t>
            </w:r>
          </w:p>
        </w:tc>
      </w:tr>
      <w:tr w:rsidR="0067242E">
        <w:tc>
          <w:tcPr>
            <w:tcW w:w="788" w:type="dxa"/>
            <w:tcBorders>
              <w:top w:val="single" w:sz="4" w:space="0" w:color="auto"/>
              <w:left w:val="single" w:sz="2" w:space="0" w:color="auto"/>
              <w:bottom w:val="single" w:sz="2" w:space="0" w:color="auto"/>
              <w:right w:val="single" w:sz="2" w:space="0" w:color="auto"/>
            </w:tcBorders>
            <w:tcMar>
              <w:top w:w="100" w:type="dxa"/>
            </w:tcMar>
          </w:tcPr>
          <w:p w:rsidR="00A77B3E" w:rsidRDefault="00AF4DE4">
            <w:pPr>
              <w:jc w:val="center"/>
            </w:pPr>
            <w:r>
              <w:t>3.</w:t>
            </w:r>
          </w:p>
        </w:tc>
        <w:tc>
          <w:tcPr>
            <w:tcW w:w="5650" w:type="dxa"/>
            <w:tcBorders>
              <w:top w:val="single" w:sz="4" w:space="0" w:color="auto"/>
              <w:left w:val="single" w:sz="2" w:space="0" w:color="auto"/>
              <w:bottom w:val="single" w:sz="2" w:space="0" w:color="auto"/>
              <w:right w:val="single" w:sz="2" w:space="0" w:color="auto"/>
            </w:tcBorders>
            <w:tcMar>
              <w:top w:w="100" w:type="dxa"/>
            </w:tcMar>
          </w:tcPr>
          <w:p w:rsidR="00A77B3E" w:rsidRDefault="00AF4DE4">
            <w:r>
              <w:t>wychowawca klasy</w:t>
            </w:r>
          </w:p>
        </w:tc>
        <w:tc>
          <w:tcPr>
            <w:tcW w:w="4062" w:type="dxa"/>
            <w:vMerge w:val="restart"/>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AF4DE4">
            <w:pPr>
              <w:jc w:val="center"/>
            </w:pPr>
            <w:r>
              <w:t>8%, nie mniej niż 300 zł</w:t>
            </w:r>
          </w:p>
        </w:tc>
      </w:tr>
      <w:tr w:rsidR="0067242E">
        <w:tc>
          <w:tcPr>
            <w:tcW w:w="788" w:type="dxa"/>
            <w:tcBorders>
              <w:top w:val="single" w:sz="4" w:space="0" w:color="auto"/>
              <w:left w:val="single" w:sz="2" w:space="0" w:color="auto"/>
              <w:bottom w:val="single" w:sz="2" w:space="0" w:color="auto"/>
              <w:right w:val="single" w:sz="2" w:space="0" w:color="auto"/>
            </w:tcBorders>
            <w:tcMar>
              <w:top w:w="100" w:type="dxa"/>
            </w:tcMar>
          </w:tcPr>
          <w:p w:rsidR="00A77B3E" w:rsidRDefault="00AF4DE4">
            <w:pPr>
              <w:jc w:val="center"/>
            </w:pPr>
            <w:r>
              <w:t>4.</w:t>
            </w:r>
          </w:p>
        </w:tc>
        <w:tc>
          <w:tcPr>
            <w:tcW w:w="5650" w:type="dxa"/>
            <w:tcBorders>
              <w:top w:val="single" w:sz="4" w:space="0" w:color="auto"/>
              <w:left w:val="single" w:sz="2" w:space="0" w:color="auto"/>
              <w:bottom w:val="single" w:sz="2" w:space="0" w:color="auto"/>
              <w:right w:val="single" w:sz="2" w:space="0" w:color="auto"/>
            </w:tcBorders>
            <w:tcMar>
              <w:top w:w="100" w:type="dxa"/>
            </w:tcMar>
          </w:tcPr>
          <w:p w:rsidR="00A77B3E" w:rsidRDefault="00AF4DE4">
            <w:pPr>
              <w:jc w:val="left"/>
            </w:pPr>
            <w:r>
              <w:t>nauczyciel, któremu powierzono opiekę nad oddziałem przedszkolnym</w:t>
            </w:r>
          </w:p>
        </w:tc>
        <w:tc>
          <w:tcPr>
            <w:tcW w:w="4062" w:type="dxa"/>
            <w:vMerge/>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left"/>
            </w:pPr>
          </w:p>
        </w:tc>
      </w:tr>
      <w:tr w:rsidR="0067242E">
        <w:tc>
          <w:tcPr>
            <w:tcW w:w="788" w:type="dxa"/>
            <w:tcBorders>
              <w:top w:val="single" w:sz="4" w:space="0" w:color="auto"/>
              <w:left w:val="single" w:sz="2" w:space="0" w:color="auto"/>
              <w:bottom w:val="single" w:sz="2" w:space="0" w:color="auto"/>
              <w:right w:val="single" w:sz="2" w:space="0" w:color="auto"/>
            </w:tcBorders>
            <w:tcMar>
              <w:top w:w="100" w:type="dxa"/>
            </w:tcMar>
          </w:tcPr>
          <w:p w:rsidR="00A77B3E" w:rsidRDefault="00AF4DE4">
            <w:pPr>
              <w:jc w:val="center"/>
            </w:pPr>
            <w:r>
              <w:t xml:space="preserve">5. </w:t>
            </w:r>
          </w:p>
        </w:tc>
        <w:tc>
          <w:tcPr>
            <w:tcW w:w="5650" w:type="dxa"/>
            <w:tcBorders>
              <w:top w:val="single" w:sz="4" w:space="0" w:color="auto"/>
              <w:left w:val="single" w:sz="2" w:space="0" w:color="auto"/>
              <w:bottom w:val="single" w:sz="2" w:space="0" w:color="auto"/>
              <w:right w:val="single" w:sz="2" w:space="0" w:color="auto"/>
            </w:tcBorders>
            <w:tcMar>
              <w:top w:w="100" w:type="dxa"/>
            </w:tcMar>
          </w:tcPr>
          <w:p w:rsidR="00A77B3E" w:rsidRDefault="00AF4DE4">
            <w:r>
              <w:t>opiekun stażu</w:t>
            </w:r>
          </w:p>
        </w:tc>
        <w:tc>
          <w:tcPr>
            <w:tcW w:w="4062" w:type="dxa"/>
            <w:tcBorders>
              <w:top w:val="single" w:sz="4" w:space="0" w:color="auto"/>
              <w:left w:val="single" w:sz="2" w:space="0" w:color="auto"/>
              <w:bottom w:val="single" w:sz="2" w:space="0" w:color="auto"/>
              <w:right w:val="single" w:sz="2" w:space="0" w:color="auto"/>
            </w:tcBorders>
            <w:tcMar>
              <w:top w:w="100" w:type="dxa"/>
            </w:tcMar>
          </w:tcPr>
          <w:p w:rsidR="00A77B3E" w:rsidRDefault="00AF4DE4">
            <w:pPr>
              <w:jc w:val="center"/>
            </w:pPr>
            <w:r>
              <w:t>2%</w:t>
            </w:r>
          </w:p>
        </w:tc>
      </w:tr>
      <w:tr w:rsidR="0067242E">
        <w:tc>
          <w:tcPr>
            <w:tcW w:w="788" w:type="dxa"/>
            <w:tcBorders>
              <w:top w:val="single" w:sz="4" w:space="0" w:color="auto"/>
              <w:left w:val="single" w:sz="2" w:space="0" w:color="auto"/>
              <w:bottom w:val="single" w:sz="2" w:space="0" w:color="auto"/>
              <w:right w:val="single" w:sz="2" w:space="0" w:color="auto"/>
            </w:tcBorders>
            <w:tcMar>
              <w:top w:w="100" w:type="dxa"/>
            </w:tcMar>
          </w:tcPr>
          <w:p w:rsidR="00A77B3E" w:rsidRDefault="00AF4DE4">
            <w:pPr>
              <w:jc w:val="center"/>
            </w:pPr>
            <w:r>
              <w:t>6.</w:t>
            </w:r>
          </w:p>
        </w:tc>
        <w:tc>
          <w:tcPr>
            <w:tcW w:w="5650" w:type="dxa"/>
            <w:tcBorders>
              <w:top w:val="single" w:sz="4" w:space="0" w:color="auto"/>
              <w:left w:val="single" w:sz="2" w:space="0" w:color="auto"/>
              <w:bottom w:val="single" w:sz="2" w:space="0" w:color="auto"/>
              <w:right w:val="single" w:sz="2" w:space="0" w:color="auto"/>
            </w:tcBorders>
            <w:tcMar>
              <w:top w:w="100" w:type="dxa"/>
            </w:tcMar>
          </w:tcPr>
          <w:p w:rsidR="00A77B3E" w:rsidRDefault="00AF4DE4">
            <w:r>
              <w:t>mentor</w:t>
            </w:r>
          </w:p>
        </w:tc>
        <w:tc>
          <w:tcPr>
            <w:tcW w:w="4062" w:type="dxa"/>
            <w:tcBorders>
              <w:top w:val="single" w:sz="4" w:space="0" w:color="auto"/>
              <w:left w:val="single" w:sz="2" w:space="0" w:color="auto"/>
              <w:bottom w:val="single" w:sz="2" w:space="0" w:color="auto"/>
              <w:right w:val="single" w:sz="2" w:space="0" w:color="auto"/>
            </w:tcBorders>
            <w:tcMar>
              <w:top w:w="100" w:type="dxa"/>
            </w:tcMar>
          </w:tcPr>
          <w:p w:rsidR="00A77B3E" w:rsidRDefault="00AF4DE4">
            <w:pPr>
              <w:jc w:val="center"/>
            </w:pPr>
            <w:r>
              <w:t>2%</w:t>
            </w:r>
          </w:p>
        </w:tc>
      </w:tr>
      <w:tr w:rsidR="0067242E">
        <w:tc>
          <w:tcPr>
            <w:tcW w:w="788" w:type="dxa"/>
            <w:tcBorders>
              <w:top w:val="single" w:sz="4" w:space="0" w:color="auto"/>
              <w:left w:val="single" w:sz="2" w:space="0" w:color="auto"/>
              <w:bottom w:val="single" w:sz="2" w:space="0" w:color="auto"/>
              <w:right w:val="single" w:sz="2" w:space="0" w:color="auto"/>
            </w:tcBorders>
            <w:tcMar>
              <w:top w:w="100" w:type="dxa"/>
            </w:tcMar>
          </w:tcPr>
          <w:p w:rsidR="00A77B3E" w:rsidRDefault="00AF4DE4">
            <w:pPr>
              <w:jc w:val="center"/>
            </w:pPr>
            <w:r>
              <w:t>7.</w:t>
            </w:r>
          </w:p>
        </w:tc>
        <w:tc>
          <w:tcPr>
            <w:tcW w:w="5650" w:type="dxa"/>
            <w:tcBorders>
              <w:top w:val="single" w:sz="4" w:space="0" w:color="auto"/>
              <w:left w:val="single" w:sz="2" w:space="0" w:color="auto"/>
              <w:bottom w:val="single" w:sz="2" w:space="0" w:color="auto"/>
              <w:right w:val="single" w:sz="2" w:space="0" w:color="auto"/>
            </w:tcBorders>
            <w:tcMar>
              <w:top w:w="100" w:type="dxa"/>
            </w:tcMar>
          </w:tcPr>
          <w:p w:rsidR="00A77B3E" w:rsidRDefault="00AF4DE4">
            <w:r>
              <w:t>doradca metodyczny, nauczyciel-konsultant</w:t>
            </w:r>
          </w:p>
        </w:tc>
        <w:tc>
          <w:tcPr>
            <w:tcW w:w="4062" w:type="dxa"/>
            <w:tcBorders>
              <w:top w:val="single" w:sz="4" w:space="0" w:color="auto"/>
              <w:left w:val="single" w:sz="2" w:space="0" w:color="auto"/>
              <w:bottom w:val="single" w:sz="2" w:space="0" w:color="auto"/>
              <w:right w:val="single" w:sz="2" w:space="0" w:color="auto"/>
            </w:tcBorders>
            <w:tcMar>
              <w:top w:w="100" w:type="dxa"/>
            </w:tcMar>
          </w:tcPr>
          <w:p w:rsidR="00A77B3E" w:rsidRDefault="00AF4DE4">
            <w:pPr>
              <w:jc w:val="center"/>
            </w:pPr>
            <w:r>
              <w:t>4%</w:t>
            </w:r>
          </w:p>
        </w:tc>
      </w:tr>
    </w:tbl>
    <w:p w:rsidR="00A77B3E" w:rsidRDefault="00AF4DE4">
      <w:pPr>
        <w:ind w:left="453"/>
      </w:pPr>
      <w:r>
        <w:t>”</w:t>
      </w:r>
      <w:r>
        <w:t>.</w:t>
      </w:r>
    </w:p>
    <w:p w:rsidR="00A77B3E" w:rsidRDefault="00AF4DE4">
      <w:pPr>
        <w:keepLines/>
        <w:spacing w:before="120" w:after="120"/>
        <w:ind w:firstLine="340"/>
      </w:pPr>
      <w:r>
        <w:rPr>
          <w:b/>
        </w:rPr>
        <w:t>§ 2. </w:t>
      </w:r>
      <w:r>
        <w:t>Uchwała ma zastosowanie począwszy od roku szkolnego 2022/2023.</w:t>
      </w:r>
    </w:p>
    <w:p w:rsidR="00A77B3E" w:rsidRDefault="00AF4DE4">
      <w:pPr>
        <w:keepLines/>
        <w:spacing w:before="120" w:after="120"/>
        <w:ind w:firstLine="340"/>
      </w:pPr>
      <w:r>
        <w:rPr>
          <w:b/>
        </w:rPr>
        <w:t>§ 3. </w:t>
      </w:r>
      <w:r>
        <w:t>Wykonanie uchwały powierza się Wójtowi Gminy Lipno.</w:t>
      </w:r>
    </w:p>
    <w:p w:rsidR="00A77B3E" w:rsidRDefault="00AF4DE4">
      <w:pPr>
        <w:keepNext/>
        <w:keepLines/>
        <w:spacing w:before="120" w:after="120"/>
        <w:ind w:firstLine="340"/>
      </w:pPr>
      <w:r>
        <w:rPr>
          <w:b/>
        </w:rPr>
        <w:lastRenderedPageBreak/>
        <w:t>§ 4. </w:t>
      </w:r>
      <w:r>
        <w:t>Uchwała wchodzi w życie po upływie 14 dni od dnia ogłoszenia w Dzienniku Urzędowym Województwa Wielkopolskiego.</w:t>
      </w:r>
    </w:p>
    <w:p w:rsidR="00A77B3E" w:rsidRDefault="00A77B3E">
      <w:pPr>
        <w:keepNext/>
        <w:keepLines/>
        <w:spacing w:before="120" w:after="120"/>
        <w:ind w:firstLine="340"/>
      </w:pPr>
    </w:p>
    <w:p w:rsidR="00A77B3E" w:rsidRDefault="00AF4DE4">
      <w:pPr>
        <w:keepNext/>
      </w:pPr>
      <w:r>
        <w:rPr>
          <w:color w:val="000000"/>
        </w:rPr>
        <w:t> </w:t>
      </w:r>
    </w:p>
    <w:tbl>
      <w:tblPr>
        <w:tblW w:w="5000" w:type="pct"/>
        <w:tblCellMar>
          <w:left w:w="0" w:type="dxa"/>
          <w:right w:w="0" w:type="dxa"/>
        </w:tblCellMar>
        <w:tblLook w:val="04A0"/>
      </w:tblPr>
      <w:tblGrid>
        <w:gridCol w:w="4933"/>
        <w:gridCol w:w="4933"/>
      </w:tblGrid>
      <w:tr w:rsidR="0067242E">
        <w:tc>
          <w:tcPr>
            <w:tcW w:w="2500" w:type="pct"/>
            <w:tcMar>
              <w:top w:w="0" w:type="dxa"/>
              <w:left w:w="0" w:type="dxa"/>
              <w:bottom w:w="0" w:type="dxa"/>
              <w:right w:w="0" w:type="dxa"/>
            </w:tcMar>
            <w:hideMark/>
          </w:tcPr>
          <w:p w:rsidR="0067242E" w:rsidRDefault="0067242E">
            <w:pPr>
              <w:keepNext/>
              <w:keepLines/>
              <w:jc w:val="left"/>
              <w:rPr>
                <w:color w:val="000000"/>
                <w:szCs w:val="22"/>
              </w:rPr>
            </w:pPr>
          </w:p>
        </w:tc>
        <w:tc>
          <w:tcPr>
            <w:tcW w:w="2500" w:type="pct"/>
            <w:tcMar>
              <w:top w:w="0" w:type="dxa"/>
              <w:left w:w="0" w:type="dxa"/>
              <w:bottom w:w="0" w:type="dxa"/>
              <w:right w:w="0" w:type="dxa"/>
            </w:tcMar>
            <w:hideMark/>
          </w:tcPr>
          <w:p w:rsidR="0067242E" w:rsidRDefault="00AF4DE4">
            <w:pPr>
              <w:keepNext/>
              <w:keepLines/>
              <w:spacing w:before="560" w:after="560"/>
              <w:ind w:left="1134" w:right="1134"/>
              <w:jc w:val="center"/>
              <w:rPr>
                <w:color w:val="000000"/>
                <w:szCs w:val="22"/>
              </w:rPr>
            </w:pPr>
            <w:r>
              <w:rPr>
                <w:color w:val="000000"/>
                <w:szCs w:val="22"/>
              </w:rPr>
              <w:t xml:space="preserve">Przewodniczący </w:t>
            </w:r>
            <w:r>
              <w:rPr>
                <w:color w:val="000000"/>
                <w:szCs w:val="22"/>
              </w:rPr>
              <w:t>Rady Gminy Lipno</w:t>
            </w:r>
            <w:r>
              <w:rPr>
                <w:color w:val="000000"/>
                <w:szCs w:val="22"/>
              </w:rPr>
              <w:br/>
            </w:r>
            <w:r>
              <w:rPr>
                <w:color w:val="000000"/>
                <w:szCs w:val="22"/>
              </w:rPr>
              <w:br/>
            </w:r>
            <w:r>
              <w:rPr>
                <w:color w:val="000000"/>
                <w:szCs w:val="22"/>
              </w:rPr>
              <w:br/>
            </w:r>
            <w:r>
              <w:rPr>
                <w:b/>
              </w:rPr>
              <w:t>Bartosz Zięba</w:t>
            </w:r>
          </w:p>
        </w:tc>
      </w:tr>
    </w:tbl>
    <w:p w:rsidR="00A77B3E" w:rsidRDefault="00A77B3E">
      <w:pPr>
        <w:keepNext/>
        <w:sectPr w:rsidR="00A77B3E">
          <w:footerReference w:type="default" r:id="rId6"/>
          <w:endnotePr>
            <w:numFmt w:val="decimal"/>
          </w:endnotePr>
          <w:pgSz w:w="11906" w:h="16838"/>
          <w:pgMar w:top="1417" w:right="1020" w:bottom="992" w:left="1020" w:header="708" w:footer="708" w:gutter="0"/>
          <w:cols w:space="708"/>
          <w:docGrid w:linePitch="360"/>
        </w:sectPr>
      </w:pPr>
    </w:p>
    <w:p w:rsidR="0067242E" w:rsidRDefault="0067242E">
      <w:pPr>
        <w:jc w:val="left"/>
        <w:rPr>
          <w:szCs w:val="20"/>
        </w:rPr>
      </w:pPr>
    </w:p>
    <w:p w:rsidR="0067242E" w:rsidRDefault="00AF4DE4">
      <w:pPr>
        <w:jc w:val="center"/>
        <w:rPr>
          <w:szCs w:val="20"/>
        </w:rPr>
      </w:pPr>
      <w:r>
        <w:rPr>
          <w:b/>
          <w:szCs w:val="20"/>
        </w:rPr>
        <w:t>Uzasadnienie</w:t>
      </w:r>
    </w:p>
    <w:p w:rsidR="0067242E" w:rsidRDefault="00AF4DE4">
      <w:pPr>
        <w:spacing w:before="120" w:after="120"/>
        <w:ind w:firstLine="720"/>
        <w:rPr>
          <w:szCs w:val="20"/>
        </w:rPr>
      </w:pPr>
      <w:r>
        <w:rPr>
          <w:szCs w:val="20"/>
        </w:rPr>
        <w:t>Przedłożony projekt uchwały ma na celu dostosowanie treści dotychczasowego Regulaminu wynagradzania nauczycieli jednostek oświatowych, dla których organem prowadzącym jest Gmina Lipno do znowelizowanych przepisów ustawy z dnia 26 stycznia 1982 r. – Karta N</w:t>
      </w:r>
      <w:r>
        <w:rPr>
          <w:szCs w:val="20"/>
        </w:rPr>
        <w:t>auczyciela (tekst jedn. Dz. U. z 2021 r. poz. 1762 ze zm.) oraz rozporządzenia Ministra Edukacji Narodowej i Sportu z dnia 31 stycznia 2005 r. w sprawie wysokości minimalnych stawek wynagrodzenia zasadniczego nauczycieli, ogólnych warunków przyznawania dod</w:t>
      </w:r>
      <w:r>
        <w:rPr>
          <w:szCs w:val="20"/>
        </w:rPr>
        <w:t xml:space="preserve">atków do wynagrodzenia zasadniczego oraz wynagradzania za pracę w dniu wolnym od pracy (tekst jedn. Dz. U. z 2014 r. poz. 416 ze zm.), zwanego dalej </w:t>
      </w:r>
      <w:proofErr w:type="spellStart"/>
      <w:r>
        <w:rPr>
          <w:szCs w:val="20"/>
        </w:rPr>
        <w:t>r.w.m.s.w</w:t>
      </w:r>
      <w:proofErr w:type="spellEnd"/>
      <w:r>
        <w:rPr>
          <w:szCs w:val="20"/>
        </w:rPr>
        <w:t xml:space="preserve">. poprzez rozszerzenie uprawnionych do dodatku funkcyjnego o mentora. </w:t>
      </w:r>
    </w:p>
    <w:p w:rsidR="0067242E" w:rsidRDefault="00AF4DE4">
      <w:pPr>
        <w:ind w:firstLine="720"/>
        <w:rPr>
          <w:szCs w:val="20"/>
        </w:rPr>
      </w:pPr>
      <w:r>
        <w:rPr>
          <w:szCs w:val="20"/>
        </w:rPr>
        <w:t xml:space="preserve">Zgodnie z § 5 </w:t>
      </w:r>
      <w:proofErr w:type="spellStart"/>
      <w:r>
        <w:rPr>
          <w:szCs w:val="20"/>
        </w:rPr>
        <w:t>pkt</w:t>
      </w:r>
      <w:proofErr w:type="spellEnd"/>
      <w:r>
        <w:rPr>
          <w:szCs w:val="20"/>
        </w:rPr>
        <w:t xml:space="preserve"> 2 lit. c </w:t>
      </w:r>
      <w:proofErr w:type="spellStart"/>
      <w:r>
        <w:rPr>
          <w:szCs w:val="20"/>
        </w:rPr>
        <w:t>r.w.m.s.w</w:t>
      </w:r>
      <w:proofErr w:type="spellEnd"/>
      <w:r>
        <w:rPr>
          <w:szCs w:val="20"/>
        </w:rPr>
        <w:t>. znowelizowanego rozporządzeniem Ministra Edukacji i Nauki z dnia 24 sierpnia 2022 r. zmieniającym rozporządzenie w sprawie wysokości minimalnych stawek wynagrodzenia zasadniczego nauczycieli, ogólnych warunków przyznawania dodatków do wynagrodze</w:t>
      </w:r>
      <w:r>
        <w:rPr>
          <w:szCs w:val="20"/>
        </w:rPr>
        <w:t xml:space="preserve">nia zasadniczego oraz wynagradzania za pracę w dniu wolnym od pracy (Dz. U. z 2022 r. poz. 1798) od dnia 1 września 2022 r. do uzyskania dodatku funkcyjnego uprawnieni są nauczyciele, którym powierzono sprawowanie funkcji mentora. </w:t>
      </w:r>
    </w:p>
    <w:p w:rsidR="0067242E" w:rsidRDefault="00AF4DE4">
      <w:pPr>
        <w:ind w:firstLine="720"/>
        <w:rPr>
          <w:szCs w:val="20"/>
        </w:rPr>
      </w:pPr>
      <w:r>
        <w:rPr>
          <w:szCs w:val="20"/>
        </w:rPr>
        <w:t>Jednocześnie zgodnie z §</w:t>
      </w:r>
      <w:r>
        <w:rPr>
          <w:szCs w:val="20"/>
        </w:rPr>
        <w:t>  2 ww. rozporządzenia zmieniającego z dnia 24 sierpnia 2022 r. do dnia 31 sierpnia 2027 r. do uzyskania dodatku funkcyjnego są uprawnieni również nauczyciele, którym powierzono sprawowanie funkcji opiekuna stażu dla nauczycieli odbywających staż na stopie</w:t>
      </w:r>
      <w:r>
        <w:rPr>
          <w:szCs w:val="20"/>
        </w:rPr>
        <w:t>ń nauczyciela mianowanego, o których mowa w art. 10 ust. 1-5 ustawy z dnia 5 sierpnia 2022 r. o zmianie ustawy - Karta Nauczyciela oraz niektórych innych ustaw (Dz. U. poz. 1730), przez okres sprawowania tej funkcji.</w:t>
      </w:r>
    </w:p>
    <w:p w:rsidR="0067242E" w:rsidRDefault="00AF4DE4">
      <w:pPr>
        <w:spacing w:before="120" w:after="120"/>
        <w:ind w:firstLine="720"/>
        <w:rPr>
          <w:szCs w:val="20"/>
        </w:rPr>
      </w:pPr>
      <w:r>
        <w:rPr>
          <w:szCs w:val="20"/>
        </w:rPr>
        <w:t>Projekt uchwały, zgodnie z art. 30 ust.</w:t>
      </w:r>
      <w:r>
        <w:rPr>
          <w:szCs w:val="20"/>
        </w:rPr>
        <w:t xml:space="preserve"> 6a Karty Nauczyciela został uzgodniony ze związkami zawodowymi zrzeszającymi nauczycieli. </w:t>
      </w:r>
    </w:p>
    <w:p w:rsidR="0067242E" w:rsidRDefault="00AF4DE4">
      <w:pPr>
        <w:spacing w:before="120" w:after="120"/>
        <w:ind w:firstLine="720"/>
        <w:rPr>
          <w:szCs w:val="20"/>
        </w:rPr>
      </w:pPr>
      <w:r>
        <w:rPr>
          <w:szCs w:val="20"/>
        </w:rPr>
        <w:t>Mając powyższe na względzie uzasadnione stało się podjęcie uchwały w zaproponowanym brzmieniu.</w:t>
      </w:r>
    </w:p>
    <w:p w:rsidR="0067242E" w:rsidRDefault="0067242E">
      <w:pPr>
        <w:spacing w:before="120" w:after="120"/>
        <w:ind w:firstLine="720"/>
        <w:rPr>
          <w:szCs w:val="20"/>
        </w:rPr>
      </w:pPr>
    </w:p>
    <w:tbl>
      <w:tblPr>
        <w:tblStyle w:val="Tabela-Prosty1"/>
        <w:tblW w:w="5000" w:type="pct"/>
        <w:tblBorders>
          <w:top w:val="nil"/>
          <w:left w:val="nil"/>
          <w:bottom w:val="nil"/>
          <w:right w:val="nil"/>
        </w:tblBorders>
        <w:tblLook w:val="04A0"/>
      </w:tblPr>
      <w:tblGrid>
        <w:gridCol w:w="5041"/>
        <w:gridCol w:w="5041"/>
      </w:tblGrid>
      <w:tr w:rsidR="0067242E">
        <w:tc>
          <w:tcPr>
            <w:tcW w:w="2500" w:type="pct"/>
            <w:tcBorders>
              <w:right w:val="nil"/>
            </w:tcBorders>
          </w:tcPr>
          <w:p w:rsidR="0067242E" w:rsidRDefault="0067242E">
            <w:pPr>
              <w:spacing w:before="120" w:after="120"/>
              <w:rPr>
                <w:szCs w:val="20"/>
              </w:rPr>
            </w:pPr>
          </w:p>
        </w:tc>
        <w:tc>
          <w:tcPr>
            <w:tcW w:w="2500" w:type="pct"/>
            <w:tcBorders>
              <w:left w:val="nil"/>
            </w:tcBorders>
          </w:tcPr>
          <w:p w:rsidR="0067242E" w:rsidRDefault="0067242E">
            <w:pPr>
              <w:spacing w:before="120" w:after="120"/>
              <w:jc w:val="center"/>
              <w:rPr>
                <w:szCs w:val="20"/>
              </w:rPr>
            </w:pPr>
            <w:r>
              <w:rPr>
                <w:szCs w:val="20"/>
              </w:rPr>
              <w:fldChar w:fldCharType="begin"/>
            </w:r>
            <w:r w:rsidR="00AF4DE4">
              <w:rPr>
                <w:szCs w:val="20"/>
              </w:rPr>
              <w:instrText>SIGNATURE_0_1_FUNCTION</w:instrText>
            </w:r>
            <w:r>
              <w:rPr>
                <w:szCs w:val="20"/>
              </w:rPr>
              <w:fldChar w:fldCharType="separate"/>
            </w:r>
            <w:r w:rsidR="00AF4DE4">
              <w:rPr>
                <w:szCs w:val="20"/>
              </w:rPr>
              <w:t>Przewodniczący Rady Gminy Lipno</w:t>
            </w:r>
            <w:r>
              <w:rPr>
                <w:szCs w:val="20"/>
              </w:rPr>
              <w:fldChar w:fldCharType="end"/>
            </w:r>
          </w:p>
          <w:p w:rsidR="0067242E" w:rsidRDefault="00AF4DE4">
            <w:pPr>
              <w:spacing w:before="120" w:after="120"/>
              <w:jc w:val="center"/>
              <w:rPr>
                <w:szCs w:val="20"/>
              </w:rPr>
            </w:pPr>
            <w:r>
              <w:rPr>
                <w:szCs w:val="20"/>
              </w:rPr>
              <w:t xml:space="preserve"> </w:t>
            </w:r>
          </w:p>
          <w:p w:rsidR="0067242E" w:rsidRDefault="0067242E">
            <w:pPr>
              <w:spacing w:before="120" w:after="120"/>
              <w:jc w:val="center"/>
              <w:rPr>
                <w:szCs w:val="20"/>
              </w:rPr>
            </w:pPr>
            <w:r>
              <w:rPr>
                <w:szCs w:val="20"/>
              </w:rPr>
              <w:fldChar w:fldCharType="begin"/>
            </w:r>
            <w:r w:rsidR="00AF4DE4">
              <w:rPr>
                <w:szCs w:val="20"/>
              </w:rPr>
              <w:instrText>SIGNATURE_0_1_FIRSTNAME</w:instrText>
            </w:r>
            <w:r>
              <w:rPr>
                <w:szCs w:val="20"/>
              </w:rPr>
              <w:fldChar w:fldCharType="separate"/>
            </w:r>
            <w:r w:rsidR="00AF4DE4">
              <w:rPr>
                <w:b/>
                <w:szCs w:val="20"/>
              </w:rPr>
              <w:t xml:space="preserve">Bartosz </w:t>
            </w:r>
            <w:r>
              <w:rPr>
                <w:szCs w:val="20"/>
              </w:rPr>
              <w:fldChar w:fldCharType="end"/>
            </w:r>
            <w:r>
              <w:rPr>
                <w:szCs w:val="20"/>
              </w:rPr>
              <w:fldChar w:fldCharType="begin"/>
            </w:r>
            <w:r w:rsidR="00AF4DE4">
              <w:rPr>
                <w:szCs w:val="20"/>
              </w:rPr>
              <w:instrText>SIGNATURE_0_1_LASTNAME</w:instrText>
            </w:r>
            <w:r>
              <w:rPr>
                <w:szCs w:val="20"/>
              </w:rPr>
              <w:fldChar w:fldCharType="separate"/>
            </w:r>
            <w:r w:rsidR="00AF4DE4">
              <w:rPr>
                <w:b/>
                <w:szCs w:val="20"/>
              </w:rPr>
              <w:t>Zięba</w:t>
            </w:r>
            <w:r>
              <w:rPr>
                <w:szCs w:val="20"/>
              </w:rPr>
              <w:fldChar w:fldCharType="end"/>
            </w:r>
          </w:p>
        </w:tc>
      </w:tr>
    </w:tbl>
    <w:p w:rsidR="0067242E" w:rsidRDefault="0067242E">
      <w:pPr>
        <w:spacing w:before="120" w:after="120"/>
        <w:ind w:firstLine="720"/>
        <w:rPr>
          <w:szCs w:val="20"/>
        </w:rPr>
      </w:pPr>
    </w:p>
    <w:sectPr w:rsidR="0067242E" w:rsidSect="0067242E">
      <w:footerReference w:type="default" r:id="rId7"/>
      <w:endnotePr>
        <w:numFmt w:val="decimal"/>
      </w:endnotePr>
      <w:pgSz w:w="11906" w:h="16838"/>
      <w:pgMar w:top="1417" w:right="1020" w:bottom="992" w:left="10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DE4" w:rsidRDefault="00AF4DE4" w:rsidP="0067242E">
      <w:r>
        <w:separator/>
      </w:r>
    </w:p>
  </w:endnote>
  <w:endnote w:type="continuationSeparator" w:id="0">
    <w:p w:rsidR="00AF4DE4" w:rsidRDefault="00AF4DE4" w:rsidP="00672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7"/>
      <w:gridCol w:w="3289"/>
    </w:tblGrid>
    <w:tr w:rsidR="0067242E">
      <w:tc>
        <w:tcPr>
          <w:tcW w:w="6577" w:type="dxa"/>
          <w:tcBorders>
            <w:top w:val="single" w:sz="4" w:space="0" w:color="auto"/>
            <w:left w:val="nil"/>
            <w:bottom w:val="nil"/>
            <w:right w:val="nil"/>
          </w:tcBorders>
          <w:tcMar>
            <w:top w:w="100" w:type="dxa"/>
            <w:left w:w="0" w:type="dxa"/>
            <w:bottom w:w="0" w:type="dxa"/>
            <w:right w:w="0" w:type="dxa"/>
          </w:tcMar>
          <w:hideMark/>
        </w:tcPr>
        <w:p w:rsidR="0067242E" w:rsidRDefault="00AF4DE4">
          <w:pPr>
            <w:jc w:val="left"/>
            <w:rPr>
              <w:sz w:val="18"/>
            </w:rPr>
          </w:pPr>
          <w:r>
            <w:rPr>
              <w:sz w:val="18"/>
            </w:rPr>
            <w:t>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67242E" w:rsidRDefault="00AF4DE4">
          <w:pPr>
            <w:jc w:val="right"/>
            <w:rPr>
              <w:sz w:val="18"/>
            </w:rPr>
          </w:pPr>
          <w:r>
            <w:rPr>
              <w:sz w:val="18"/>
            </w:rPr>
            <w:t xml:space="preserve">Strona </w:t>
          </w:r>
          <w:r w:rsidR="0067242E">
            <w:rPr>
              <w:sz w:val="18"/>
            </w:rPr>
            <w:fldChar w:fldCharType="begin"/>
          </w:r>
          <w:r>
            <w:rPr>
              <w:sz w:val="18"/>
            </w:rPr>
            <w:instrText>PAGE</w:instrText>
          </w:r>
          <w:r w:rsidR="008C6329">
            <w:rPr>
              <w:sz w:val="18"/>
            </w:rPr>
            <w:fldChar w:fldCharType="separate"/>
          </w:r>
          <w:r w:rsidR="008C6329">
            <w:rPr>
              <w:noProof/>
              <w:sz w:val="18"/>
            </w:rPr>
            <w:t>1</w:t>
          </w:r>
          <w:r w:rsidR="0067242E">
            <w:rPr>
              <w:sz w:val="18"/>
            </w:rPr>
            <w:fldChar w:fldCharType="end"/>
          </w:r>
        </w:p>
      </w:tc>
    </w:tr>
  </w:tbl>
  <w:p w:rsidR="0067242E" w:rsidRDefault="0067242E">
    <w:pPr>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7"/>
      <w:gridCol w:w="3289"/>
    </w:tblGrid>
    <w:tr w:rsidR="0067242E">
      <w:tc>
        <w:tcPr>
          <w:tcW w:w="6577" w:type="dxa"/>
          <w:tcBorders>
            <w:top w:val="single" w:sz="4" w:space="0" w:color="auto"/>
            <w:left w:val="nil"/>
            <w:bottom w:val="nil"/>
            <w:right w:val="nil"/>
          </w:tcBorders>
          <w:tcMar>
            <w:top w:w="100" w:type="dxa"/>
            <w:left w:w="0" w:type="dxa"/>
            <w:bottom w:w="0" w:type="dxa"/>
            <w:right w:w="0" w:type="dxa"/>
          </w:tcMar>
          <w:hideMark/>
        </w:tcPr>
        <w:p w:rsidR="0067242E" w:rsidRDefault="00AF4DE4">
          <w:pPr>
            <w:jc w:val="left"/>
            <w:rPr>
              <w:sz w:val="18"/>
            </w:rPr>
          </w:pPr>
          <w:r>
            <w:rPr>
              <w:sz w:val="18"/>
            </w:rPr>
            <w:t>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67242E" w:rsidRDefault="00AF4DE4">
          <w:pPr>
            <w:jc w:val="right"/>
            <w:rPr>
              <w:sz w:val="18"/>
            </w:rPr>
          </w:pPr>
          <w:r>
            <w:rPr>
              <w:sz w:val="18"/>
            </w:rPr>
            <w:t xml:space="preserve">Strona </w:t>
          </w:r>
          <w:r w:rsidR="0067242E">
            <w:rPr>
              <w:sz w:val="18"/>
            </w:rPr>
            <w:fldChar w:fldCharType="begin"/>
          </w:r>
          <w:r>
            <w:rPr>
              <w:sz w:val="18"/>
            </w:rPr>
            <w:instrText>PAGE</w:instrText>
          </w:r>
          <w:r w:rsidR="008C6329">
            <w:rPr>
              <w:sz w:val="18"/>
            </w:rPr>
            <w:fldChar w:fldCharType="separate"/>
          </w:r>
          <w:r w:rsidR="008C6329">
            <w:rPr>
              <w:noProof/>
              <w:sz w:val="18"/>
            </w:rPr>
            <w:t>3</w:t>
          </w:r>
          <w:r w:rsidR="0067242E">
            <w:rPr>
              <w:sz w:val="18"/>
            </w:rPr>
            <w:fldChar w:fldCharType="end"/>
          </w:r>
        </w:p>
      </w:tc>
    </w:tr>
  </w:tbl>
  <w:p w:rsidR="0067242E" w:rsidRDefault="0067242E">
    <w:pP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DE4" w:rsidRDefault="00AF4DE4" w:rsidP="0067242E">
      <w:r>
        <w:separator/>
      </w:r>
    </w:p>
  </w:footnote>
  <w:footnote w:type="continuationSeparator" w:id="0">
    <w:p w:rsidR="00AF4DE4" w:rsidRDefault="00AF4DE4" w:rsidP="006724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67242E"/>
    <w:rsid w:val="008C6329"/>
    <w:rsid w:val="00A77B3E"/>
    <w:rsid w:val="00AF4DE4"/>
    <w:rsid w:val="00CA2A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7242E"/>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Prosty1">
    <w:name w:val="Table Simple 1"/>
    <w:basedOn w:val="Standardowy"/>
    <w:rsid w:val="006724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Rada Gminy Lipno</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LIV/ 389/ 2022 z dnia 29 września 2022 r.</dc:title>
  <dc:subject>w sprawie zmiany uchwały w^sprawie Regulaminu wygradzania nauczycieli jednostek oświatowych, dla których organem prowadzącym jest Gmina Lipno</dc:subject>
  <dc:creator>ibieganska</dc:creator>
  <cp:lastModifiedBy>Irena Biegańska</cp:lastModifiedBy>
  <cp:revision>2</cp:revision>
  <dcterms:created xsi:type="dcterms:W3CDTF">2022-10-05T08:03:00Z</dcterms:created>
  <dcterms:modified xsi:type="dcterms:W3CDTF">2022-10-05T08:03:00Z</dcterms:modified>
  <cp:category>Akt prawny</cp:category>
</cp:coreProperties>
</file>