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51C57">
      <w:pPr>
        <w:jc w:val="center"/>
        <w:rPr>
          <w:b/>
          <w:caps/>
        </w:rPr>
      </w:pPr>
      <w:r>
        <w:rPr>
          <w:b/>
          <w:caps/>
        </w:rPr>
        <w:t>Uchwała Nr LXIV/485/2023</w:t>
      </w:r>
      <w:r>
        <w:rPr>
          <w:b/>
          <w:caps/>
        </w:rPr>
        <w:br/>
        <w:t>Rady Gminy Lipno</w:t>
      </w:r>
    </w:p>
    <w:p w:rsidR="00A77B3E" w:rsidRDefault="00751C57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751C57">
      <w:pPr>
        <w:keepNext/>
        <w:spacing w:after="480"/>
        <w:jc w:val="center"/>
      </w:pPr>
      <w:r>
        <w:rPr>
          <w:b/>
        </w:rPr>
        <w:t>w sprawie zasad udzielania dotacji na prace konserwatorskie, restauratorskie lub roboty budowlane przy zabytkach znajdujących się na terenie gminy Lipno</w:t>
      </w:r>
    </w:p>
    <w:p w:rsidR="00A77B3E" w:rsidRDefault="00751C5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</w:t>
      </w:r>
      <w:r>
        <w:t xml:space="preserve">ustawy z dnia 8 marca 1990 r. o samorządzie gminnym (tekst jedn. Dz. U. z 2023 roku poz. 40 ze zm.) w związku z art. 81 ust. 1 ustawy z dnia 23 lipca 2003 r. o ochronie zabytków i opiece nad zabytkami (tekst jedn. </w:t>
      </w:r>
      <w:proofErr w:type="spellStart"/>
      <w:r>
        <w:t>Dz.U</w:t>
      </w:r>
      <w:proofErr w:type="spellEnd"/>
      <w:r>
        <w:t xml:space="preserve">. z 2022 r. poz. 840) uchwala się, co </w:t>
      </w:r>
      <w:r>
        <w:t>następuje:</w:t>
      </w:r>
    </w:p>
    <w:p w:rsidR="00A77B3E" w:rsidRDefault="00751C57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zasady udzielania dotacji na prace konserwatorskie, restauratorskie lub roboty budowlane przy zabytkach wpisanych do rejestru zabytków lub znajdujących się w gminnej ewidencji zabytków położonych na terenie gminy Lipno.</w:t>
      </w:r>
    </w:p>
    <w:p w:rsidR="00A77B3E" w:rsidRDefault="00751C57">
      <w:pPr>
        <w:keepLines/>
        <w:spacing w:before="120" w:after="120"/>
        <w:ind w:firstLine="340"/>
      </w:pPr>
      <w:r>
        <w:rPr>
          <w:b/>
        </w:rPr>
        <w:t>§ 2. </w:t>
      </w:r>
      <w:r>
        <w:t>Ile</w:t>
      </w:r>
      <w:r>
        <w:t>kroć w uchwale jest mowa o:</w:t>
      </w:r>
    </w:p>
    <w:p w:rsidR="00A77B3E" w:rsidRDefault="00751C57">
      <w:pPr>
        <w:spacing w:before="120" w:after="120"/>
        <w:ind w:left="340" w:hanging="227"/>
      </w:pPr>
      <w:r>
        <w:t>1) </w:t>
      </w:r>
      <w:r>
        <w:t>dotacji – należy przez to rozumieć dotację celową na dofinansowanie prac konserwatorskich, restauratorskich lub robót budowlanych, przy zabytku wpisanym do rejestru zabytków lub znajdującym się w gminnej ewidencji zabytków;</w:t>
      </w:r>
    </w:p>
    <w:p w:rsidR="00A77B3E" w:rsidRDefault="00751C57">
      <w:pPr>
        <w:spacing w:before="120" w:after="120"/>
        <w:ind w:left="340" w:hanging="227"/>
      </w:pPr>
      <w:r>
        <w:t>2</w:t>
      </w:r>
      <w:r>
        <w:t>) </w:t>
      </w:r>
      <w:r>
        <w:t>zabytku - rozumie się przez to zabytek znajdujący się na terenie gminy Lipno wpisany do rejestru zabytków lub znajdujący się w gminnej ewidencji zabytków;</w:t>
      </w:r>
    </w:p>
    <w:p w:rsidR="00A77B3E" w:rsidRDefault="00751C57">
      <w:pPr>
        <w:spacing w:before="120" w:after="120"/>
        <w:ind w:left="340" w:hanging="227"/>
      </w:pPr>
      <w:r>
        <w:t>3) </w:t>
      </w:r>
      <w:r>
        <w:t>ustawie - należy przez to rozumieć ustawę z dnia 23 lipca 2003 r. o ochronie zabytków i opiece n</w:t>
      </w:r>
      <w:r>
        <w:t>ad zabytkami (tekst jedn. Dz. U. z 2022 r. poz. 840);</w:t>
      </w:r>
    </w:p>
    <w:p w:rsidR="00A77B3E" w:rsidRDefault="00751C57">
      <w:pPr>
        <w:spacing w:before="120" w:after="120"/>
        <w:ind w:left="340" w:hanging="227"/>
      </w:pPr>
      <w:r>
        <w:t>4) </w:t>
      </w:r>
      <w:r>
        <w:t>Gminie – należy przez to rozumieć Gminę Lipno;</w:t>
      </w:r>
    </w:p>
    <w:p w:rsidR="00A77B3E" w:rsidRDefault="00751C57">
      <w:pPr>
        <w:spacing w:before="120" w:after="120"/>
        <w:ind w:left="340" w:hanging="227"/>
      </w:pPr>
      <w:r>
        <w:t>5) </w:t>
      </w:r>
      <w:r>
        <w:t>Wójcie – należy przez to rozumieć Wójta Gminy Lipno.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Z budżetu Gminy mogą być udzielane dotacje celowe na prace konserwatorskie, restaurators</w:t>
      </w:r>
      <w:r>
        <w:t>kie lub roboty budowlane przy zabytkach.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może zostać udzielona na finansowanie nakładów koniecznych określonych w art. 77 ustawy.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udzielenie dotacji mogą ubiegać się podmioty posiadające tytuł prawny do zabytku wynikający z prawa własności,</w:t>
      </w:r>
      <w:r>
        <w:rPr>
          <w:color w:val="000000"/>
          <w:u w:color="000000"/>
        </w:rPr>
        <w:t xml:space="preserve"> użytkowania wieczystego, ograniczonego prawa rzeczowego, trwałego zarządu albo stosunku zobowiązaniowego.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Jeżeli podmiot, o którym mowa w ust. 3 prowadzi działalność gospodarczą w rozumieniu unijnego prawa konkurencji, dotacja do zabytku </w:t>
      </w:r>
      <w:r>
        <w:rPr>
          <w:color w:val="000000"/>
          <w:u w:color="000000"/>
        </w:rPr>
        <w:t xml:space="preserve">wykorzystywanego w prowadzonej działalności stanowić będzie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odpowiednio w rozumieniu: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rozporządzenia Komisji (UE) nr 1407/2013 z dnia 18 grudnia 2013 r. w sprawie stosowania art.107 i 108 Traktatu o funkcjonowaniu Unii Europejskiej do p</w:t>
      </w:r>
      <w:r>
        <w:rPr>
          <w:color w:val="000000"/>
          <w:u w:color="000000"/>
        </w:rPr>
        <w:t xml:space="preserve">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Nr 352 z 24.12.2013 r., str. 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lub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rozporządzenia Komisji (UE) nr 1408/2013 z dnia 18 grudnia 2013 r. w sprawie stosowania art.107 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</w:t>
      </w:r>
      <w:r>
        <w:rPr>
          <w:color w:val="000000"/>
          <w:u w:color="000000"/>
        </w:rPr>
        <w:t>torze rolnym (Dz. Urz. UE L Nr 352 z 24.12.2013 r., str. 9,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o której mowa w ust. 4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może być udzielana do dnia 30 czerwca 2024 r.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Dotacja może być udzielona w wysokości do 50% nakładów koniecznych na wykonani</w:t>
      </w:r>
      <w:r>
        <w:rPr>
          <w:color w:val="000000"/>
          <w:u w:color="000000"/>
        </w:rPr>
        <w:t>e prac konserwatorskich, restauratorskich lub robót budowlanych przy zabytku, z zastrzeżeniem ust. 2.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zabytek posiada wyjątkową wartość historyczną, artystyczną lub naukową albo wymaga przeprowadzenia złożonych pod względem technologicznym prac k</w:t>
      </w:r>
      <w:r>
        <w:rPr>
          <w:color w:val="000000"/>
          <w:u w:color="000000"/>
        </w:rPr>
        <w:t>onserwatorskich, restauratorskich lub robót budowlanych, albo gdy sytuacja wymaga niezwłocznego podjęcia prac lub robót budowlanych przy zabytku, dotacja może być udzielona w wysokości do 100% nakładów koniecznych na wykonanie tych prac lub robót budowlany</w:t>
      </w:r>
      <w:r>
        <w:rPr>
          <w:color w:val="000000"/>
          <w:u w:color="000000"/>
        </w:rPr>
        <w:t>ch.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dotacji udzielanej w ramach dofinansowania otrzymanego przez Gminę ze środków zewnętrznych dotacja może zostać udzielona do wysokości 100% nakładów koniecznych na wykonanie prac lub robót budowlanych przy zabytku.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gdy wni</w:t>
      </w:r>
      <w:r>
        <w:rPr>
          <w:color w:val="000000"/>
          <w:u w:color="000000"/>
        </w:rPr>
        <w:t>oskodawca na prace konserwatorskie, restauratorskie lub roboty budowlane przy zabytku, otrzymuje również inne środki publiczne, kwota dotacji przyznanej z budżetu Gminy, wraz z kwotami przyznanych na ten cel innych środków publicznych, nie może przekraczać</w:t>
      </w:r>
      <w:r>
        <w:rPr>
          <w:color w:val="000000"/>
          <w:u w:color="000000"/>
        </w:rPr>
        <w:t xml:space="preserve"> 100% nakładów koniecznych na wykonanie tych prac lub robót.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Udzielenie dotacji może nastąpić po złożeniu przez podmiot, o którym mowa § 3 ust. 3 wniosku w tej sprawie do Wójta. 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powinien zawierać: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informacje o wnioskodawcy (imię, </w:t>
      </w:r>
      <w:r>
        <w:rPr>
          <w:color w:val="000000"/>
          <w:u w:color="000000"/>
        </w:rPr>
        <w:t>nazwisko/nazwę, adres zamieszkania/siedziby, osoby upoważnione do reprezentowania wnioskodawcy);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o zabytku (nazwa, położenie, tytuł prawny do zabytku);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szczegółowy opis prac lub robót przy zabytku i termin ich wykonania;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całkowity koszt</w:t>
      </w:r>
      <w:r>
        <w:rPr>
          <w:color w:val="000000"/>
          <w:u w:color="000000"/>
        </w:rPr>
        <w:t xml:space="preserve"> prac lub robót przy zabytku;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określenie wysokości dotacji, o którą ubiega się wnioskodawca;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informacje o środkach publicznych przyznanych z innych źródeł na te same prace lub roboty budowlane przy zabytku oraz informacje o złożonych do innych organó</w:t>
      </w:r>
      <w:r>
        <w:rPr>
          <w:color w:val="000000"/>
          <w:u w:color="000000"/>
        </w:rPr>
        <w:t>w wnioskach o takie środki.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należy załączyć kopię lub oryginał: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dokumentu potwierdzającego tytuł prawny do zabytku;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decyzji o wpisie zabytku do rejestru zabytków, w przypadku zabytków rejestrowych;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pozwolenia wojewódzkiego konserwato</w:t>
      </w:r>
      <w:r>
        <w:rPr>
          <w:color w:val="000000"/>
          <w:u w:color="000000"/>
        </w:rPr>
        <w:t>ra zabytków na przeprowadzenie prac lub robót objętych wnioskiem, jeśli jest wymagane;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pozwolenia na budowę lub zgłoszenia robót, jeśli jest wymagane;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kosztorysu prac lub robót określonych we wniosku;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dokumentacji fotograficznej zabytku przedstawi</w:t>
      </w:r>
      <w:r>
        <w:rPr>
          <w:color w:val="000000"/>
          <w:u w:color="000000"/>
        </w:rPr>
        <w:t>ającej aktualny stan zabytku.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Podmiot ubiegający się dofinansowanie stanowiące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zobowiązany jest przedłożyć wraz wnioskiem: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</w:t>
      </w:r>
      <w:r>
        <w:rPr>
          <w:color w:val="000000"/>
          <w:u w:color="000000"/>
        </w:rPr>
        <w:t>otrzymał w roku, w którym ubiega się o pomoc, oraz w ciągu 2 poprzedzających go lat podatkowych, albo oświadczenia o wielkości tej pomocy otrzymanej w tym okresie, albo oświadczenia o nieotrzymaniu takiej pomocy w tym okresie;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określone w roz</w:t>
      </w:r>
      <w:r>
        <w:rPr>
          <w:color w:val="000000"/>
          <w:u w:color="000000"/>
        </w:rPr>
        <w:t xml:space="preserve">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 poz. 311 ze zm.) albo w rozporządzeniu Rady Ministrów z dnia 11 czerwca 2010 r. w sprawi</w:t>
      </w:r>
      <w:r>
        <w:rPr>
          <w:color w:val="000000"/>
          <w:u w:color="000000"/>
        </w:rPr>
        <w:t xml:space="preserve">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 poz. 810).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Wnioski o udzielenie dotacji składa się Wójtowi do dnia 30 września każdego roku, poprzedzającego możliwość u</w:t>
      </w:r>
      <w:r>
        <w:rPr>
          <w:color w:val="000000"/>
          <w:u w:color="000000"/>
        </w:rPr>
        <w:t>dzielenia dotacji.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Termin, o którym mowa w ust.1 nie ma zastosowania w przypadku ubiegania się o dotację na prace interwencyjne, wynikające z zagrożenia zabytku oraz w przypadku możliwości pozyskania przez Gminę dofinansowania z programów lub projektów </w:t>
      </w:r>
      <w:r>
        <w:rPr>
          <w:color w:val="000000"/>
          <w:u w:color="000000"/>
        </w:rPr>
        <w:t>unijnych i krajowych oraz innych źródeł wspierających ochronę zabytków w terminach w nich określonych.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niekompletne, po bezskutecznym wezwaniu do usunięcia braków pozostawione zostaną bez rozpoznania.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Złożenie wniosku nie jest równoznaczne z </w:t>
      </w:r>
      <w:r>
        <w:rPr>
          <w:color w:val="000000"/>
          <w:u w:color="000000"/>
        </w:rPr>
        <w:t>przyznaniem dotacji i nie gwarantuje również przyznania dotacji we wnioskowanej przez wnioskodawcę wysokości.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Realizacja wniosków uzależniona jest od wysokości środków określonych w budżecie Gminy na ten cel w danym roku budżetowym.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Dotację przyzna</w:t>
      </w:r>
      <w:r>
        <w:rPr>
          <w:color w:val="000000"/>
          <w:u w:color="000000"/>
        </w:rPr>
        <w:t>je Rada Gminy Lipno w formie uchwały, w której określa się: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podmiotu otrzymującego dotację;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prace lub roboty budowlane przy zabytku, na wykonanie których przyznano dotację;</w:t>
      </w:r>
    </w:p>
    <w:p w:rsidR="00A77B3E" w:rsidRDefault="00751C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kwotę dotacji do przekazania.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uchwała Nr VIII/57/2015</w:t>
      </w:r>
      <w:r>
        <w:rPr>
          <w:color w:val="000000"/>
          <w:u w:color="000000"/>
        </w:rPr>
        <w:t xml:space="preserve"> Rady Gminy Lipno z dnia 26 maja 2015 r. w sprawie określenia zasad i trybu udzielania dotacji na prace konserwatorskie, restauratorskie lub roboty budowlane przy zabytku wpisanym do rejestru zabytków (Dz. Urz. Woj. Wielkopolskiego z 2015 r. poz. 3691).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9. </w:t>
      </w:r>
      <w:r>
        <w:rPr>
          <w:color w:val="000000"/>
          <w:u w:color="000000"/>
        </w:rPr>
        <w:t>Do wniosków złożonych i nie rozpatrzonych przed dniem wejścia w życie niniejszej uchwały stosuje się przepisy niniejszej uchwały.</w:t>
      </w:r>
    </w:p>
    <w:p w:rsidR="00A77B3E" w:rsidRDefault="00751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51C5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po upływie 14 dni od dnia ogłoszeni</w:t>
      </w:r>
      <w:r>
        <w:rPr>
          <w:color w:val="000000"/>
          <w:u w:color="000000"/>
        </w:rPr>
        <w:t>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51C5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36E8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8B" w:rsidRDefault="00636E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8B" w:rsidRDefault="00751C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636E8B" w:rsidRDefault="00751C5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36E8B" w:rsidRDefault="00751C5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</w:t>
      </w:r>
      <w:r>
        <w:rPr>
          <w:szCs w:val="20"/>
        </w:rPr>
        <w:t xml:space="preserve">z art. 81 ust. 1 ustawy z dnia 23 lipca 2003 r. o ochronie zabytków i opiece nad zabytkami (tekst jedn. </w:t>
      </w:r>
      <w:proofErr w:type="spellStart"/>
      <w:r>
        <w:rPr>
          <w:szCs w:val="20"/>
        </w:rPr>
        <w:t>Dz.U</w:t>
      </w:r>
      <w:proofErr w:type="spellEnd"/>
      <w:r>
        <w:rPr>
          <w:szCs w:val="20"/>
        </w:rPr>
        <w:t>. z 2022 r. poz. 840 ze zm.) w trybie określonym odrębnymi przepisami dotacja na prace konserwatorskie, restauratorskie lub roboty budowlane przy za</w:t>
      </w:r>
      <w:r>
        <w:rPr>
          <w:szCs w:val="20"/>
        </w:rPr>
        <w:t>bytku wpisanym do rejestru lub znajdującym się w gminnej ewidencji zabytków może być udzielona przez organ stanowiący gminy, na zasadach określonych           w podjętej przez ten organ uchwale.</w:t>
      </w:r>
    </w:p>
    <w:p w:rsidR="00636E8B" w:rsidRDefault="00751C57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określa zasady udzielania dotacji</w:t>
      </w:r>
      <w:r>
        <w:rPr>
          <w:szCs w:val="20"/>
        </w:rPr>
        <w:t xml:space="preserve"> na prace konserwatorskie, restauratorskie lub roboty budowlane przy zabytkach wpisanych do rejestru zabytków lub znajdujących się w gminnej ewidencji zabytków położonych na terenie gminy Lipno. Ze względu na ilość zmian wprowadzonych do uchwały Nr VI/39/2</w:t>
      </w:r>
      <w:r>
        <w:rPr>
          <w:szCs w:val="20"/>
        </w:rPr>
        <w:t>015 Rady Gminy Lipno z dnia 30 marca 2015 r. w sprawie określenia zasad i trybu udzielania dotacji na prace konserwatorskie, restauratorskie lub roboty budowlane przy zabytku wpisanym do rejestru zabytków (Dz. Urz. Woj. Wielkopolskiego z 2015 r. poz. 2321)</w:t>
      </w:r>
      <w:r>
        <w:rPr>
          <w:szCs w:val="20"/>
        </w:rPr>
        <w:t xml:space="preserve"> konieczne stało się jej uchylenie i uchwalenie nowego aktu w zaproponowanym brzmieniu.</w:t>
      </w:r>
    </w:p>
    <w:p w:rsidR="00636E8B" w:rsidRDefault="00751C57">
      <w:pPr>
        <w:spacing w:before="120" w:after="120"/>
        <w:ind w:firstLine="720"/>
        <w:rPr>
          <w:szCs w:val="20"/>
        </w:rPr>
      </w:pPr>
      <w:r>
        <w:rPr>
          <w:szCs w:val="20"/>
        </w:rPr>
        <w:t>Projekt uchwały pismami z dnia 8 maja 2023 r. nr ROŚ.0006.2.2023 został przesłany, celem zaopiniowania do Ministerstwa Rolnictwa i Rozwoju Wsi oraz Prezesa Urzędu Ochro</w:t>
      </w:r>
      <w:r>
        <w:rPr>
          <w:szCs w:val="20"/>
        </w:rPr>
        <w:t xml:space="preserve">ny Konkurencji i Konsumentów. Minister Rolnictwa i Rozwoju Wsi w odpowiedzi z dnia 24 maja 2023 r. nr DBD.pp.0220.735.2023 zaproponował zmianę w zakresie dotyczącym pomocy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, która została wprowadzona do niniejszego projektu uchwały.</w:t>
      </w:r>
    </w:p>
    <w:p w:rsidR="00636E8B" w:rsidRDefault="00751C57">
      <w:pPr>
        <w:keepNext/>
        <w:spacing w:before="120" w:after="120"/>
        <w:rPr>
          <w:szCs w:val="20"/>
        </w:rPr>
      </w:pPr>
      <w:r>
        <w:rPr>
          <w:szCs w:val="20"/>
        </w:rPr>
        <w:t>Mając powyższ</w:t>
      </w:r>
      <w:r>
        <w:rPr>
          <w:szCs w:val="20"/>
        </w:rPr>
        <w:t>e na względzie uzasadnione stało się podjęcie uchwały w zaproponowanym brzmieniu.</w:t>
      </w:r>
    </w:p>
    <w:p w:rsidR="00636E8B" w:rsidRDefault="00751C57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36E8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8B" w:rsidRDefault="00636E8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8B" w:rsidRDefault="00636E8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51C57">
                <w:rPr>
                  <w:color w:val="000000"/>
                  <w:szCs w:val="20"/>
                </w:rPr>
                <w:t>Przewodniczący Rady Gminy Lipno</w:t>
              </w:r>
            </w:fldSimple>
            <w:r w:rsidR="00751C57">
              <w:rPr>
                <w:color w:val="000000"/>
                <w:szCs w:val="20"/>
              </w:rPr>
              <w:br/>
            </w:r>
            <w:r w:rsidR="00751C57">
              <w:rPr>
                <w:color w:val="000000"/>
                <w:szCs w:val="20"/>
              </w:rPr>
              <w:br/>
            </w:r>
            <w:r w:rsidR="00751C5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51C57">
                <w:rPr>
                  <w:b/>
                  <w:color w:val="000000"/>
                  <w:szCs w:val="20"/>
                </w:rPr>
                <w:t>Bartosz</w:t>
              </w:r>
            </w:fldSimple>
            <w:r w:rsidR="00751C5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51C57">
                <w:rPr>
                  <w:b/>
                  <w:color w:val="000000"/>
                  <w:szCs w:val="20"/>
                </w:rPr>
                <w:t>Zięba</w:t>
              </w:r>
            </w:fldSimple>
            <w:r w:rsidR="00751C57">
              <w:rPr>
                <w:b/>
                <w:color w:val="000000"/>
                <w:szCs w:val="20"/>
              </w:rPr>
              <w:t> </w:t>
            </w:r>
          </w:p>
        </w:tc>
      </w:tr>
    </w:tbl>
    <w:p w:rsidR="00636E8B" w:rsidRDefault="00636E8B">
      <w:pPr>
        <w:keepNext/>
        <w:rPr>
          <w:szCs w:val="20"/>
        </w:rPr>
      </w:pPr>
    </w:p>
    <w:sectPr w:rsidR="00636E8B" w:rsidSect="00636E8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57" w:rsidRDefault="00751C57" w:rsidP="00636E8B">
      <w:r>
        <w:separator/>
      </w:r>
    </w:p>
  </w:endnote>
  <w:endnote w:type="continuationSeparator" w:id="0">
    <w:p w:rsidR="00751C57" w:rsidRDefault="00751C57" w:rsidP="0063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36E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6E8B" w:rsidRDefault="00751C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6E8B" w:rsidRDefault="00751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36E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EEB">
            <w:rPr>
              <w:sz w:val="18"/>
            </w:rPr>
            <w:fldChar w:fldCharType="separate"/>
          </w:r>
          <w:r w:rsidR="004F2EEB">
            <w:rPr>
              <w:noProof/>
              <w:sz w:val="18"/>
            </w:rPr>
            <w:t>1</w:t>
          </w:r>
          <w:r w:rsidR="00636E8B">
            <w:rPr>
              <w:sz w:val="18"/>
            </w:rPr>
            <w:fldChar w:fldCharType="end"/>
          </w:r>
        </w:p>
      </w:tc>
    </w:tr>
  </w:tbl>
  <w:p w:rsidR="00636E8B" w:rsidRDefault="00636E8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36E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6E8B" w:rsidRDefault="00751C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6E8B" w:rsidRDefault="00751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36E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EEB">
            <w:rPr>
              <w:sz w:val="18"/>
            </w:rPr>
            <w:fldChar w:fldCharType="separate"/>
          </w:r>
          <w:r w:rsidR="004F2EEB">
            <w:rPr>
              <w:noProof/>
              <w:sz w:val="18"/>
            </w:rPr>
            <w:t>4</w:t>
          </w:r>
          <w:r w:rsidR="00636E8B">
            <w:rPr>
              <w:sz w:val="18"/>
            </w:rPr>
            <w:fldChar w:fldCharType="end"/>
          </w:r>
        </w:p>
      </w:tc>
    </w:tr>
  </w:tbl>
  <w:p w:rsidR="00636E8B" w:rsidRDefault="00636E8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57" w:rsidRDefault="00751C57" w:rsidP="00636E8B">
      <w:r>
        <w:separator/>
      </w:r>
    </w:p>
  </w:footnote>
  <w:footnote w:type="continuationSeparator" w:id="0">
    <w:p w:rsidR="00751C57" w:rsidRDefault="00751C57" w:rsidP="0063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F2EEB"/>
    <w:rsid w:val="00636E8B"/>
    <w:rsid w:val="00751C5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E8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LXIV/485/2023 z dnia 5 czerwca 2023 r.</dc:title>
  <dc:subject>w sprawie zasad udzielania dotacji na prace konserwatorskie, restauratorskie lub roboty budowlane przy zabytkach znajdujących się na terenie gminy Lipno</dc:subject>
  <dc:creator>ibieganska</dc:creator>
  <cp:lastModifiedBy>Irena Biegańska</cp:lastModifiedBy>
  <cp:revision>2</cp:revision>
  <dcterms:created xsi:type="dcterms:W3CDTF">2023-06-12T13:31:00Z</dcterms:created>
  <dcterms:modified xsi:type="dcterms:W3CDTF">2023-06-12T13:31:00Z</dcterms:modified>
  <cp:category>Akt prawny</cp:category>
</cp:coreProperties>
</file>