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B3E93">
      <w:pPr>
        <w:jc w:val="center"/>
        <w:rPr>
          <w:b/>
          <w:caps/>
        </w:rPr>
      </w:pPr>
      <w:r>
        <w:rPr>
          <w:b/>
          <w:caps/>
        </w:rPr>
        <w:t>Uchwała Nr III/18/2024</w:t>
      </w:r>
      <w:r>
        <w:rPr>
          <w:b/>
          <w:caps/>
        </w:rPr>
        <w:br/>
        <w:t>Rady Gminy Lipno</w:t>
      </w:r>
    </w:p>
    <w:p w:rsidR="00A77B3E" w:rsidRDefault="009B3E93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9B3E93">
      <w:pPr>
        <w:keepNext/>
        <w:spacing w:after="480"/>
        <w:jc w:val="center"/>
      </w:pPr>
      <w:r>
        <w:rPr>
          <w:b/>
        </w:rPr>
        <w:t>w sprawie zwolnienia od podatku od nieruchomości</w:t>
      </w:r>
    </w:p>
    <w:p w:rsidR="00A77B3E" w:rsidRDefault="009B3E93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8 i art. 40 ust. 1 ustawy z dnia 8 marca 1990 r. o samorządzie gminnym (tekst jedn. Dz. U. z 2024 r. poz. 609</w:t>
      </w:r>
      <w:r>
        <w:t xml:space="preserve"> ze zm.) oraz art. 7 ust. 3 ustawy z dnia 12 stycznia 1991 r. o podatkach i opłatach lokalnych (tekst jedn. Dz. U. z 2023 r. poz. 70) uchwala się, co następuje: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Zwalnia się od podatku od nieruchomości nowo wybudowane budynki lub ich części przeznac</w:t>
      </w:r>
      <w:r>
        <w:t>zone na utworzenie lub powiększenie istniejącego przedsiębiorstwa i wykorzystywane do prowadzenia własnej działalności gospodarczej przez właściciela.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Zwolnienie od podatku od nieruchomości, o którym mowa w ust. 1, nie ma zastosowania do: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budynków lu</w:t>
      </w:r>
      <w:r>
        <w:rPr>
          <w:color w:val="000000"/>
          <w:u w:color="000000"/>
        </w:rPr>
        <w:t>b ich części związanych z działalnością handlową o powierzchni użytkowej powyżej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tym również gdy łączna powierzchnia użytkowa rozbudowywanego budynku przekroczy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związanej z działalnością handlową;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stacji paliw;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budynków l</w:t>
      </w:r>
      <w:r>
        <w:rPr>
          <w:color w:val="000000"/>
          <w:u w:color="000000"/>
        </w:rPr>
        <w:t>ub ich części oddanych w posiadanie zależne w rozumieniu przepisów ustawy - Kodeks cywilny.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 nowo wybudowane budynki lub ich części uważa się nowo powstałe budynki (w tym odbudowane) lub nowe części istniejących budynków, które w wyniku rozbudowy lub </w:t>
      </w:r>
      <w:r>
        <w:rPr>
          <w:color w:val="000000"/>
          <w:u w:color="000000"/>
        </w:rPr>
        <w:t>nadbudowy zwiększyły swoją kubaturę lub powierzchnię zabudowy.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przypadku, gdy przedmiot opodatkowania jest we współwłasności w częściach ułamkowych przedsiębiorcy i osób trzecich lub we wspólności ustawowej przedsiębiorcy będącego osobą fizyczną i m</w:t>
      </w:r>
      <w:r>
        <w:rPr>
          <w:color w:val="000000"/>
          <w:u w:color="000000"/>
        </w:rPr>
        <w:t>ałżonka przedsiębiorcy zwalnia się od podatku od nieruchomości nowo wybudowane budynki lub ich części w całości, jeżeli w całości są one zajęte na prowadzenie własnej działalności gospodarczej.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Okres zwolnienia wynosi 3 lata od dnia uzyskania zwoln</w:t>
      </w:r>
      <w:r>
        <w:rPr>
          <w:color w:val="000000"/>
          <w:u w:color="000000"/>
        </w:rPr>
        <w:t>ienia i liczy się dla nowo wybudowanych budynków lub ich części - od dnia 1 stycznia roku następującego po roku, w którym spełniono łącznie następujące warunki: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budowa została zakończona albo rozpoczęto użytkowanie budynku lub jego części przed ich osta</w:t>
      </w:r>
      <w:r>
        <w:rPr>
          <w:color w:val="000000"/>
          <w:u w:color="000000"/>
        </w:rPr>
        <w:t>tecznym wykończeniem;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rozpoczęto działalność gospodarczą w tym budynku lub w jego części.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warunki określone w ust. 1 nie zostaną spełnione łącznie w danym roku podatkowym, okres zwolnienia liczy się od pierwszego dnia miesiąca następ</w:t>
      </w:r>
      <w:r>
        <w:rPr>
          <w:color w:val="000000"/>
          <w:u w:color="000000"/>
        </w:rPr>
        <w:t>ującego po miesiącu, w którym rozpoczęto prowadzenie działalności gospodarczej, z zastrzeżeniem ust. 3.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warunek określony w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1 spełniony zostanie w miesiącu grudniu, a warunek określony w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2 w miesiącu styczniu nastę</w:t>
      </w:r>
      <w:r>
        <w:rPr>
          <w:color w:val="000000"/>
          <w:u w:color="000000"/>
        </w:rPr>
        <w:t>pnego roku, okres zwolnienia liczy się od dnia 1 stycznia roku, w którym rozpoczęto działalność gospodarczą.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Warunkiem uzyskania przez podatnika zwolnienia od podatku od nieruchomości jest: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niepozostawanie podatnika w stanie likwidacji lub upadł</w:t>
      </w:r>
      <w:r>
        <w:rPr>
          <w:color w:val="000000"/>
          <w:u w:color="000000"/>
        </w:rPr>
        <w:t>ości;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rozpoczęcie w nowo wybudowanych budynkach lub ich częściach własnej działalności gospodarczej.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celu potwierdzenia spełnienia warunków, o których mowa w ust.1 podatnik składa: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oświadczenie o niepozostawaniu w stanie likwidacji lub upadłości</w:t>
      </w:r>
      <w:r>
        <w:rPr>
          <w:color w:val="000000"/>
          <w:u w:color="000000"/>
        </w:rPr>
        <w:t>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 dniu rozpoczęcia własnej działalności gospodarczej w nowo wybudowanych budynkach lub ich częściach.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t>1. </w:t>
      </w:r>
      <w:r>
        <w:rPr>
          <w:color w:val="000000"/>
          <w:u w:color="000000"/>
        </w:rPr>
        <w:t>Utrata prawa do zwolnienia od podatku od nieruchomości następuje w przypadku, gdy przed upływem trzech lat, o których mowa w § 3</w:t>
      </w:r>
      <w:r>
        <w:rPr>
          <w:color w:val="000000"/>
          <w:u w:color="000000"/>
        </w:rPr>
        <w:t> ust. 1, w budynku lub jego części podlegającej zwolnieniu: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zaprzestano prowadzenia działalności gospodarczej;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zmieniono przedmiot działalności gospodarczej na taki, który nie uprawnia do korzystania ze zwolnienia;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powierzchnia budynków lub ich cz</w:t>
      </w:r>
      <w:r>
        <w:rPr>
          <w:color w:val="000000"/>
          <w:u w:color="000000"/>
        </w:rPr>
        <w:t>ęści związana z działalnością handlową przekroczyła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Utrata prawa do zwolnienia od podatku od nieruchomości następuje również w przypadku, gdy przed upływem terminu, o którym mowa w § 3 ust. 1, nastąpi zawieszenie działalności gospodarczej prowad</w:t>
      </w:r>
      <w:r>
        <w:rPr>
          <w:color w:val="000000"/>
          <w:u w:color="000000"/>
        </w:rPr>
        <w:t>zonej przez podmiot korzystający z tego zwolnienia lub likwidacja tej działalności.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Podatnik zobowiązany jest powiadomić organ podatkowy o utracie prawa do zwolnienia w terminie 14 dni od dnia powstania okoliczności uzasadniających utratę prawa do zwoln</w:t>
      </w:r>
      <w:r>
        <w:rPr>
          <w:color w:val="000000"/>
          <w:u w:color="000000"/>
        </w:rPr>
        <w:t>ienia. Prawo do zwolnienia ustaje z pierwszym dniem miesiąca następującego po miesiącu, w którym zaistniały warunki powodujące utratę prawa do zwolnienia od podatku.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Utrata prawa do zwolnienia od podatku od nieruchomości następuje również w przypadku, j</w:t>
      </w:r>
      <w:r>
        <w:rPr>
          <w:color w:val="000000"/>
          <w:u w:color="000000"/>
        </w:rPr>
        <w:t>eżeli okaże się, że podatnik złożył nieprawdziwe oświadczenia, o których mowa w § 4 ust. 2. W takim przypadku utrata prawa do zwolnienia następuje od dnia, w którym nabył prawo do zwolnienia.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Zwolnienie od podatku od nieruchomości ma charakter pomocy </w:t>
      </w:r>
      <w:r>
        <w:rPr>
          <w:color w:val="000000"/>
          <w:u w:color="000000"/>
        </w:rPr>
        <w:t xml:space="preserve">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której udzielenie następuje zgodnie z rozporządzeniem Komisji (UE) nr 2023/2831 z dnia 13 grudnia 2023 r.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 2023//2831 z 15.12.202</w:t>
      </w:r>
      <w:r>
        <w:rPr>
          <w:color w:val="000000"/>
          <w:u w:color="000000"/>
        </w:rPr>
        <w:t>3 r.).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Przedsiębiorca, który chce skorzystać z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obowiązany jest do złożenia organowi podatkowemu: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wszystkich zaświadczeń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jaką otrzymał w okresie minionych </w:t>
      </w:r>
      <w:r>
        <w:rPr>
          <w:color w:val="000000"/>
          <w:u w:color="000000"/>
        </w:rPr>
        <w:t xml:space="preserve">trzech lat,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otrzymanej w tym okresie, albo oświadczenia o nieotrzymaniu takiej pomocy w tym okresie;</w:t>
      </w:r>
    </w:p>
    <w:p w:rsidR="00A77B3E" w:rsidRDefault="009B3E9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informacji przedstawianych</w:t>
      </w:r>
      <w:r>
        <w:rPr>
          <w:color w:val="000000"/>
          <w:u w:color="000000"/>
        </w:rPr>
        <w:t xml:space="preserve"> przy ubieganiu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określonych w rozporządzeniu Rady Ministrów z dnia 29 marca 2010 r. w sprawie zakresu informacji przedstawianych przez podmiot ubiegający się o pomoc </w:t>
      </w:r>
      <w:r>
        <w:rPr>
          <w:i/>
          <w:color w:val="000000"/>
          <w:u w:color="000000"/>
        </w:rPr>
        <w:t xml:space="preserve">de </w:t>
      </w:r>
      <w:proofErr w:type="spellStart"/>
      <w:r>
        <w:rPr>
          <w:i/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(tekst jedn. Dz. U. z 2024 r. poz. 40).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Informacje i </w:t>
      </w:r>
      <w:r>
        <w:rPr>
          <w:color w:val="000000"/>
          <w:u w:color="000000"/>
        </w:rPr>
        <w:t>dokumenty, o których mowa w ust. 1, należy również przedkładać do 31 stycznia każdego roku, w którym podatnik korzysta ze zwolnienia.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9B3E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Uchwała podlega ogłoszeniu w Dzienniku Urzędowym Województwa</w:t>
      </w:r>
      <w:r>
        <w:rPr>
          <w:color w:val="000000"/>
          <w:u w:color="000000"/>
        </w:rPr>
        <w:t xml:space="preserve"> Wielkopolskiego i wchodzi w życie z dniem 1 lipca 2024 roku.</w:t>
      </w:r>
    </w:p>
    <w:p w:rsidR="00A77B3E" w:rsidRDefault="009B3E9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Uchwała obowiązuje do dnia 31 grudnia 2030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B3E9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14B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8B" w:rsidRDefault="00414B8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8B" w:rsidRDefault="009B3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14B8B" w:rsidRDefault="009B3E9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Jedną z podstawowych zachęt inwestycyjnych dostępnych dla przedsiębiorców w gminach jest zwolnienie z podatków i opłat lokalnych. Ustawa z dnia 12 stycznie 1991 r. o podatkach i opłatach lokalnych przyznaje radzie </w:t>
      </w:r>
      <w:r>
        <w:rPr>
          <w:szCs w:val="20"/>
        </w:rPr>
        <w:t>gminy uprawnienia w zakresie kształtowania stawek podatkowych i ustanawiania przedmiotowych zwolnień od przewidzianych w niej podatków i opłat. Podstawowe znaczenie dla przedsiębiorców ma zwolnienie z podatku od nieruchomości.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>Opodatkowaniu podatkiem od ni</w:t>
      </w:r>
      <w:r>
        <w:rPr>
          <w:szCs w:val="20"/>
        </w:rPr>
        <w:t>eruchomości podlegają: grunty, budynki lub ich części, budowle lub ich części związane z prowadzeniem działalności gospodarczej.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>Podatnikami podatku od nieruchomości są osoby fizyczne, osoby prawne, jednostki organizacyjne, w tym spółki nieposiadające osob</w:t>
      </w:r>
      <w:r>
        <w:rPr>
          <w:szCs w:val="20"/>
        </w:rPr>
        <w:t>owości prawnej, które są właścicielami lub posiadaczami samoistnymi nieruchomości lub obiektów budowlanych, użytkownikami wieczystymi gruntów lub posiadaczami nieruchomości lub ich części albo obiektów budowlanych lub ich części, stanowiących własność Skar</w:t>
      </w:r>
      <w:r>
        <w:rPr>
          <w:szCs w:val="20"/>
        </w:rPr>
        <w:t>bu Państwa lub jednostki samorządu terytorialnego, jeżeli posiadanie wynika z umowy zawartej z właścicielem, Krajowym Ośrodkiem Wsparcia Rolnictwa lub z innego tytułu prawnego, jak również jest bez tytułu prawnego.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Wysokość stawek podatku od nieruchomości </w:t>
      </w:r>
      <w:r>
        <w:rPr>
          <w:szCs w:val="20"/>
        </w:rPr>
        <w:t>określa w drodze uchwały rada gminy, z tym że stawki roczne nie mogą przekroczyć limitów określonych w ustawie o podatkach i opłatach lokalnych.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w drodze uchwały może ustanowić zwolnienie od podatku od nieruchomości dla przedsiębiorców, jako jed</w:t>
      </w:r>
      <w:r>
        <w:rPr>
          <w:szCs w:val="20"/>
        </w:rPr>
        <w:t>ną z form pomocy publicznej. Pomoc powstająca przy zastosowaniu zwolnienia z podatku od nieruchomości odpowiada wartości zwolnienia podatkowego. Co istotne pomoc podatkowa na podstawie uchwał rad gmin jest tzw. „pomocą automatyczną”, co oznacza, że zwolnie</w:t>
      </w:r>
      <w:r>
        <w:rPr>
          <w:szCs w:val="20"/>
        </w:rPr>
        <w:t xml:space="preserve">nie przysługuje z mocy samego prawa, po spełnieniu przez przedsiębiorcę przesłanek ustalonych w uchwale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gminy.</w:t>
      </w:r>
    </w:p>
    <w:p w:rsidR="00414B8B" w:rsidRDefault="009B3E93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został przesłany, celem zaopiniowania, do Prezesa Urzędu Ochrony Konkurencji                      i Konsumentów. Prezes Urzę</w:t>
      </w:r>
      <w:r>
        <w:rPr>
          <w:szCs w:val="20"/>
        </w:rPr>
        <w:t xml:space="preserve">du Ochrony Konkurencji i Konsumentów w piśmie z dnia 29 maja 2024 r.                   nr DMP-1.530.1142.2024 przedstawił zastrzeżenie zwiększające przejrzystość zasad udzielania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>, które zostało uwzględnione w projekcie uchwały.</w:t>
      </w:r>
    </w:p>
    <w:p w:rsidR="00414B8B" w:rsidRDefault="009B3E9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</w:t>
      </w:r>
      <w:r>
        <w:rPr>
          <w:szCs w:val="20"/>
        </w:rPr>
        <w:t>ższe na względzie uzasadnione stało się podjęcie uchwały w zaproponowanym brzmieniu.</w:t>
      </w:r>
    </w:p>
    <w:p w:rsidR="00414B8B" w:rsidRDefault="009B3E9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14B8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8B" w:rsidRDefault="00414B8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8B" w:rsidRDefault="00414B8B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9B3E93">
                <w:rPr>
                  <w:color w:val="000000"/>
                  <w:szCs w:val="20"/>
                </w:rPr>
                <w:t>Przewodniczący Rady Gminy Lipno</w:t>
              </w:r>
            </w:fldSimple>
            <w:r w:rsidR="009B3E93">
              <w:rPr>
                <w:color w:val="000000"/>
                <w:szCs w:val="20"/>
              </w:rPr>
              <w:br/>
            </w:r>
            <w:r w:rsidR="009B3E93">
              <w:rPr>
                <w:color w:val="000000"/>
                <w:szCs w:val="20"/>
              </w:rPr>
              <w:br/>
            </w:r>
            <w:r w:rsidR="009B3E9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9B3E93">
                <w:rPr>
                  <w:b/>
                  <w:color w:val="000000"/>
                  <w:szCs w:val="20"/>
                </w:rPr>
                <w:t>Bartosz</w:t>
              </w:r>
            </w:fldSimple>
            <w:r w:rsidR="009B3E9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9B3E93">
                <w:rPr>
                  <w:b/>
                  <w:color w:val="000000"/>
                  <w:szCs w:val="20"/>
                </w:rPr>
                <w:t>Zięba</w:t>
              </w:r>
            </w:fldSimple>
            <w:r w:rsidR="009B3E93">
              <w:rPr>
                <w:b/>
                <w:color w:val="000000"/>
                <w:szCs w:val="20"/>
              </w:rPr>
              <w:t> </w:t>
            </w:r>
          </w:p>
        </w:tc>
      </w:tr>
    </w:tbl>
    <w:p w:rsidR="00414B8B" w:rsidRDefault="00414B8B">
      <w:pPr>
        <w:keepNext/>
        <w:rPr>
          <w:szCs w:val="20"/>
        </w:rPr>
      </w:pPr>
    </w:p>
    <w:sectPr w:rsidR="00414B8B" w:rsidSect="00414B8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93" w:rsidRDefault="009B3E93" w:rsidP="00414B8B">
      <w:r>
        <w:separator/>
      </w:r>
    </w:p>
  </w:endnote>
  <w:endnote w:type="continuationSeparator" w:id="0">
    <w:p w:rsidR="009B3E93" w:rsidRDefault="009B3E93" w:rsidP="0041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14B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4B8B" w:rsidRDefault="009B3E9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4B8B" w:rsidRDefault="009B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14B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1B30">
            <w:rPr>
              <w:sz w:val="18"/>
            </w:rPr>
            <w:fldChar w:fldCharType="separate"/>
          </w:r>
          <w:r w:rsidR="00581B30">
            <w:rPr>
              <w:noProof/>
              <w:sz w:val="18"/>
            </w:rPr>
            <w:t>1</w:t>
          </w:r>
          <w:r w:rsidR="00414B8B">
            <w:rPr>
              <w:sz w:val="18"/>
            </w:rPr>
            <w:fldChar w:fldCharType="end"/>
          </w:r>
        </w:p>
      </w:tc>
    </w:tr>
  </w:tbl>
  <w:p w:rsidR="00414B8B" w:rsidRDefault="00414B8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14B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4B8B" w:rsidRDefault="009B3E9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4B8B" w:rsidRDefault="009B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14B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1B30">
            <w:rPr>
              <w:sz w:val="18"/>
            </w:rPr>
            <w:fldChar w:fldCharType="separate"/>
          </w:r>
          <w:r w:rsidR="00581B30">
            <w:rPr>
              <w:noProof/>
              <w:sz w:val="18"/>
            </w:rPr>
            <w:t>3</w:t>
          </w:r>
          <w:r w:rsidR="00414B8B">
            <w:rPr>
              <w:sz w:val="18"/>
            </w:rPr>
            <w:fldChar w:fldCharType="end"/>
          </w:r>
        </w:p>
      </w:tc>
    </w:tr>
  </w:tbl>
  <w:p w:rsidR="00414B8B" w:rsidRDefault="00414B8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93" w:rsidRDefault="009B3E93" w:rsidP="00414B8B">
      <w:r>
        <w:separator/>
      </w:r>
    </w:p>
  </w:footnote>
  <w:footnote w:type="continuationSeparator" w:id="0">
    <w:p w:rsidR="009B3E93" w:rsidRDefault="009B3E93" w:rsidP="00414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4B8B"/>
    <w:rsid w:val="00581B30"/>
    <w:rsid w:val="009B3E9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4B8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III/18/2024 z dnia 4 czerwca 2024 r.</dc:title>
  <dc:subject>w sprawie zwolnienia od podatku od nieruchomości</dc:subject>
  <dc:creator>ibieganska</dc:creator>
  <cp:lastModifiedBy>Irena Biegańska</cp:lastModifiedBy>
  <cp:revision>2</cp:revision>
  <dcterms:created xsi:type="dcterms:W3CDTF">2024-06-11T06:34:00Z</dcterms:created>
  <dcterms:modified xsi:type="dcterms:W3CDTF">2024-06-11T06:34:00Z</dcterms:modified>
  <cp:category>Akt prawny</cp:category>
</cp:coreProperties>
</file>