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D23F1C">
      <w:pPr>
        <w:jc w:val="center"/>
        <w:rPr>
          <w:b/>
          <w:caps/>
        </w:rPr>
      </w:pPr>
      <w:r>
        <w:rPr>
          <w:b/>
          <w:caps/>
        </w:rPr>
        <w:t>Uchwała Nr XI/63/2024</w:t>
      </w:r>
      <w:r>
        <w:rPr>
          <w:b/>
          <w:caps/>
        </w:rPr>
        <w:br/>
        <w:t>Rady Gminy Lipno</w:t>
      </w:r>
    </w:p>
    <w:p w:rsidR="00A77B3E" w:rsidRDefault="00D23F1C">
      <w:pPr>
        <w:spacing w:before="280" w:after="280"/>
        <w:jc w:val="center"/>
        <w:rPr>
          <w:b/>
          <w:caps/>
        </w:rPr>
      </w:pPr>
      <w:r>
        <w:t>z dnia 28 listopada 2024 r.</w:t>
      </w:r>
    </w:p>
    <w:p w:rsidR="00A77B3E" w:rsidRDefault="00D23F1C">
      <w:pPr>
        <w:keepNext/>
        <w:spacing w:after="480"/>
        <w:jc w:val="center"/>
      </w:pPr>
      <w:r>
        <w:rPr>
          <w:b/>
        </w:rPr>
        <w:t>w sprawie przekazania petycji według właściwości</w:t>
      </w:r>
    </w:p>
    <w:p w:rsidR="00A77B3E" w:rsidRDefault="00D23F1C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15, art. 18b ust. 1 ustawy z dnia 8 marca 1990 r. o samorządzie gminnym (tekst jedn. Dz. U. z 2024 r. poz. </w:t>
      </w:r>
      <w:r>
        <w:t>1465 ze zm.) oraz art. 6 ust. 1 ustawy z dnia 11 lipca 2014 r. o petycjach (tekst jedn. Dz. U. z 2018 r. poz. 870) uchwala się, co następuje:</w:t>
      </w:r>
    </w:p>
    <w:p w:rsidR="00A77B3E" w:rsidRDefault="00D23F1C">
      <w:pPr>
        <w:keepLines/>
        <w:spacing w:before="120" w:after="120"/>
        <w:ind w:firstLine="340"/>
      </w:pPr>
      <w:r>
        <w:rPr>
          <w:b/>
        </w:rPr>
        <w:t>§ 1. </w:t>
      </w:r>
      <w:r>
        <w:t>Uznaje się Radę Gminy Lipno za niewłaściwą do rozpatrzenia petycji z dnia 28 października 2024 r. w sprawie u</w:t>
      </w:r>
      <w:r>
        <w:t>znania wnoszącego petycję za stronę w każdym przypadku wnioskowania podmiotu gospodarczego o możliwość wszczęcia działalności gospodarczej na działkach 57/35, 57/36 i 57/37 w Lipnie i przekazuje się petycję Wójtowi Gminy Lipno jako organowi właściwemu do j</w:t>
      </w:r>
      <w:r>
        <w:t>ej rozpatrzenia, z przyczyn wskazanych w uzasadnieniu, stanowiącym załącznik do uchwały.</w:t>
      </w:r>
    </w:p>
    <w:p w:rsidR="00A77B3E" w:rsidRDefault="00D23F1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Przewodniczącemu Rady Gminy Lipno.</w:t>
      </w:r>
    </w:p>
    <w:p w:rsidR="00A77B3E" w:rsidRDefault="00D23F1C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D23F1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442D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D9D" w:rsidRDefault="00442D9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D9D" w:rsidRDefault="00D23F1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</w:t>
            </w:r>
            <w:r>
              <w:rPr>
                <w:b/>
              </w:rPr>
              <w:t>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442D9D" w:rsidRDefault="00D23F1C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442D9D" w:rsidRDefault="00D23F1C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dniu 28 października 2024 roku do Rady Gminy Lipno wpłynęła petycja grupy mieszkańców Lipna o uznanie ich za stronę (do </w:t>
      </w:r>
      <w:r>
        <w:rPr>
          <w:szCs w:val="20"/>
        </w:rPr>
        <w:t>powiadamiania i konsultacji społecznej) każdym przypadku wnioskowania podmiotu gospodarczego o możliwość wszczęcia działalności gospodarczej na działkach 57/35, 57/36 i 57/37 w Lipnie.</w:t>
      </w:r>
    </w:p>
    <w:p w:rsidR="00442D9D" w:rsidRDefault="00D23F1C">
      <w:pPr>
        <w:spacing w:before="120" w:after="120"/>
        <w:ind w:firstLine="227"/>
        <w:rPr>
          <w:szCs w:val="20"/>
        </w:rPr>
      </w:pPr>
      <w:r>
        <w:rPr>
          <w:szCs w:val="20"/>
        </w:rPr>
        <w:t>Komisja Skarg, Wniosków i Petycji na posiedzeniu w dniu 21 listopada 20</w:t>
      </w:r>
      <w:r>
        <w:rPr>
          <w:szCs w:val="20"/>
        </w:rPr>
        <w:t>24 r. zapoznała się                          z przedmiotową petycją  i stwierdziła, że organem właściwym do jej rozpatrzenia nie jest Rada Gminy Lipno, lecz Wójt Gminy Lipno.</w:t>
      </w:r>
    </w:p>
    <w:p w:rsidR="00442D9D" w:rsidRDefault="00D23F1C">
      <w:pPr>
        <w:spacing w:before="120" w:after="120"/>
        <w:ind w:firstLine="227"/>
        <w:rPr>
          <w:szCs w:val="20"/>
        </w:rPr>
      </w:pPr>
      <w:r>
        <w:rPr>
          <w:szCs w:val="20"/>
        </w:rPr>
        <w:t>Wpis do ewidencji działalności gospodarczej dokonywany jest poprzez system telein</w:t>
      </w:r>
      <w:r>
        <w:rPr>
          <w:szCs w:val="20"/>
        </w:rPr>
        <w:t xml:space="preserve">formatyczny prowadzony przez ministra </w:t>
      </w:r>
      <w:proofErr w:type="spellStart"/>
      <w:r>
        <w:rPr>
          <w:szCs w:val="20"/>
        </w:rPr>
        <w:t>właściweogo</w:t>
      </w:r>
      <w:proofErr w:type="spellEnd"/>
      <w:r>
        <w:rPr>
          <w:szCs w:val="20"/>
        </w:rPr>
        <w:t xml:space="preserve"> do spraw gospodarki lub tradycyjnie za pośrednictwem urzędu gminy wybranego przez wnioskującego o wpis przedsiębiorcę. Zgodnie z art. 8 ust. 7 ustawy z dnia 6 marca 2018 r. o Centralnej Ewidencji i Informac</w:t>
      </w:r>
      <w:r>
        <w:rPr>
          <w:szCs w:val="20"/>
        </w:rPr>
        <w:t>ji o Działalności Gospodarczej i Punkcie Informacji dla Przedsiębiorcy (Dz. U. z 2022 r. poz. 541) przyjmowanie, przekształcanie na postać elektroniczną przez organ gminy wniosków o wpis do CEIDG, żądań, zgłoszeń, wniosków i zmian oraz ich archiwizacja dok</w:t>
      </w:r>
      <w:r>
        <w:rPr>
          <w:szCs w:val="20"/>
        </w:rPr>
        <w:t>onywana przez organ gminy i jest zadaniem zleconym z zakresie administracji rządowej.</w:t>
      </w:r>
    </w:p>
    <w:p w:rsidR="00442D9D" w:rsidRDefault="00D23F1C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6 ust. 1 ustawy z dnia 11 lipca 2004 r. o petycjach (Dz. U. z 2018 r. poz. 870) adresat petycji, który jest niewłaściwy do jej rozpatrzenia, przesyła ją ni</w:t>
      </w:r>
      <w:r>
        <w:rPr>
          <w:szCs w:val="20"/>
        </w:rPr>
        <w:t>ezwłocznie, nie później jednak niż w terminie 30 dni od dnia jej złożenia, do podmiotu właściwego do rozpatrzenia petycji, zawiadamiając o tym równocześnie podmiot wnoszący petycję.</w:t>
      </w:r>
    </w:p>
    <w:p w:rsidR="00442D9D" w:rsidRDefault="00D23F1C">
      <w:pPr>
        <w:keepNext/>
        <w:spacing w:before="120" w:after="120"/>
        <w:ind w:firstLine="227"/>
        <w:rPr>
          <w:szCs w:val="20"/>
        </w:rPr>
      </w:pPr>
      <w:r>
        <w:rPr>
          <w:szCs w:val="20"/>
        </w:rPr>
        <w:t>Mając powyższe na względzie zasadne jest przekazanie petycji Wójtowi Gminy</w:t>
      </w:r>
      <w:r>
        <w:rPr>
          <w:szCs w:val="20"/>
        </w:rPr>
        <w:t xml:space="preserve"> Lipno jako organowi właściwemu do jej rozpatrzenia.</w:t>
      </w:r>
    </w:p>
    <w:p w:rsidR="00442D9D" w:rsidRDefault="00D23F1C">
      <w:pPr>
        <w:keepNext/>
        <w:rPr>
          <w:szCs w:val="20"/>
        </w:rPr>
      </w:pPr>
      <w:r>
        <w:rPr>
          <w:szCs w:val="20"/>
        </w:rPr>
        <w:t> 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442D9D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D9D" w:rsidRDefault="00442D9D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2D9D" w:rsidRDefault="00442D9D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D23F1C">
                <w:rPr>
                  <w:color w:val="000000"/>
                  <w:szCs w:val="20"/>
                </w:rPr>
                <w:t>Przewodniczący Rady Gminy Lipno</w:t>
              </w:r>
            </w:fldSimple>
            <w:r w:rsidR="00D23F1C">
              <w:rPr>
                <w:color w:val="000000"/>
                <w:szCs w:val="20"/>
              </w:rPr>
              <w:br/>
            </w:r>
            <w:r w:rsidR="00D23F1C">
              <w:rPr>
                <w:color w:val="000000"/>
                <w:szCs w:val="20"/>
              </w:rPr>
              <w:br/>
            </w:r>
            <w:r w:rsidR="00D23F1C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D23F1C">
                <w:rPr>
                  <w:b/>
                  <w:color w:val="000000"/>
                  <w:szCs w:val="20"/>
                </w:rPr>
                <w:t>Bartosz</w:t>
              </w:r>
            </w:fldSimple>
            <w:r w:rsidR="00D23F1C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D23F1C">
                <w:rPr>
                  <w:b/>
                  <w:color w:val="000000"/>
                  <w:szCs w:val="20"/>
                </w:rPr>
                <w:t>Zięba</w:t>
              </w:r>
            </w:fldSimple>
            <w:r w:rsidR="00D23F1C">
              <w:rPr>
                <w:b/>
                <w:color w:val="000000"/>
                <w:szCs w:val="20"/>
              </w:rPr>
              <w:t> </w:t>
            </w:r>
          </w:p>
        </w:tc>
      </w:tr>
    </w:tbl>
    <w:p w:rsidR="00442D9D" w:rsidRDefault="00442D9D">
      <w:pPr>
        <w:keepNext/>
        <w:rPr>
          <w:szCs w:val="20"/>
        </w:rPr>
      </w:pPr>
    </w:p>
    <w:sectPr w:rsidR="00442D9D" w:rsidSect="00442D9D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F1C" w:rsidRDefault="00D23F1C" w:rsidP="00442D9D">
      <w:r>
        <w:separator/>
      </w:r>
    </w:p>
  </w:endnote>
  <w:endnote w:type="continuationSeparator" w:id="0">
    <w:p w:rsidR="00D23F1C" w:rsidRDefault="00D23F1C" w:rsidP="00442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42D9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42D9D" w:rsidRDefault="00D23F1C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42D9D" w:rsidRDefault="00D23F1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42D9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B33A2">
            <w:rPr>
              <w:sz w:val="18"/>
            </w:rPr>
            <w:fldChar w:fldCharType="separate"/>
          </w:r>
          <w:r w:rsidR="001B33A2">
            <w:rPr>
              <w:noProof/>
              <w:sz w:val="18"/>
            </w:rPr>
            <w:t>1</w:t>
          </w:r>
          <w:r w:rsidR="00442D9D">
            <w:rPr>
              <w:sz w:val="18"/>
            </w:rPr>
            <w:fldChar w:fldCharType="end"/>
          </w:r>
        </w:p>
      </w:tc>
    </w:tr>
  </w:tbl>
  <w:p w:rsidR="00442D9D" w:rsidRDefault="00442D9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42D9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42D9D" w:rsidRDefault="00D23F1C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42D9D" w:rsidRDefault="00D23F1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42D9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B33A2">
            <w:rPr>
              <w:sz w:val="18"/>
            </w:rPr>
            <w:fldChar w:fldCharType="separate"/>
          </w:r>
          <w:r w:rsidR="001B33A2">
            <w:rPr>
              <w:noProof/>
              <w:sz w:val="18"/>
            </w:rPr>
            <w:t>2</w:t>
          </w:r>
          <w:r w:rsidR="00442D9D">
            <w:rPr>
              <w:sz w:val="18"/>
            </w:rPr>
            <w:fldChar w:fldCharType="end"/>
          </w:r>
        </w:p>
      </w:tc>
    </w:tr>
  </w:tbl>
  <w:p w:rsidR="00442D9D" w:rsidRDefault="00442D9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F1C" w:rsidRDefault="00D23F1C" w:rsidP="00442D9D">
      <w:r>
        <w:separator/>
      </w:r>
    </w:p>
  </w:footnote>
  <w:footnote w:type="continuationSeparator" w:id="0">
    <w:p w:rsidR="00D23F1C" w:rsidRDefault="00D23F1C" w:rsidP="00442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B33A2"/>
    <w:rsid w:val="00442D9D"/>
    <w:rsid w:val="00A77B3E"/>
    <w:rsid w:val="00CA2A55"/>
    <w:rsid w:val="00D2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42D9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XI/63/2024 z dnia 28 listopada 2024 r.</dc:title>
  <dc:subject>w sprawie przekazania petycji według właściwości</dc:subject>
  <dc:creator>ibieganska</dc:creator>
  <cp:lastModifiedBy>Irena Biegańska</cp:lastModifiedBy>
  <cp:revision>2</cp:revision>
  <dcterms:created xsi:type="dcterms:W3CDTF">2024-12-02T13:24:00Z</dcterms:created>
  <dcterms:modified xsi:type="dcterms:W3CDTF">2024-12-02T13:24:00Z</dcterms:modified>
  <cp:category>Akt prawny</cp:category>
</cp:coreProperties>
</file>