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F3739">
      <w:pPr>
        <w:jc w:val="center"/>
        <w:rPr>
          <w:b/>
          <w:caps/>
        </w:rPr>
      </w:pPr>
      <w:r>
        <w:rPr>
          <w:b/>
          <w:caps/>
        </w:rPr>
        <w:t>Uchwała nr XXVIII/165/2026</w:t>
      </w:r>
      <w:r>
        <w:rPr>
          <w:b/>
          <w:caps/>
        </w:rPr>
        <w:br/>
        <w:t>Rady Gminy Lipno</w:t>
      </w:r>
    </w:p>
    <w:p w:rsidR="00A77B3E" w:rsidRDefault="00FF3739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FF3739">
      <w:pPr>
        <w:keepNext/>
        <w:spacing w:after="480"/>
        <w:jc w:val="center"/>
      </w:pPr>
      <w:r>
        <w:rPr>
          <w:b/>
        </w:rPr>
        <w:t>w sprawie programu osłonowego „Korpus Wsparcia Seniorów” na rok 2026 w Gminie Lipno</w:t>
      </w:r>
    </w:p>
    <w:p w:rsidR="00A77B3E" w:rsidRDefault="00FF3739">
      <w:pPr>
        <w:keepLines/>
        <w:spacing w:before="120" w:after="120"/>
        <w:ind w:firstLine="227"/>
      </w:pPr>
      <w:r>
        <w:t>Na podstawie art. 18 ust. 2 pkt 15 ustawy z dnia 8 marca 1990 r. o samorządzie gminnym (tekst jedn. Dz.</w:t>
      </w:r>
      <w:r>
        <w:t> U. z 2025 r. poz. 1153 ze zm.) oraz art. 17 ust. 2 pkt 4 ustawy o pomocy społecznej (tekst jedn. Dz. U. z 2025 r. poz. 1214 ze zm.) uchwala się, co następuje:</w:t>
      </w:r>
    </w:p>
    <w:p w:rsidR="00A77B3E" w:rsidRDefault="00FF3739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program osłonowy „Korpus Wsparcia Seniorów” na rok 2026 w Gminie Lipno, stano</w:t>
      </w:r>
      <w:r>
        <w:t>wiący załącznik do niniejszej uchwały.</w:t>
      </w:r>
    </w:p>
    <w:p w:rsidR="00A77B3E" w:rsidRDefault="00FF3739">
      <w:pPr>
        <w:keepLines/>
        <w:spacing w:before="120" w:after="120"/>
        <w:ind w:firstLine="340"/>
      </w:pPr>
      <w:r>
        <w:rPr>
          <w:b/>
        </w:rPr>
        <w:t>§ 2. </w:t>
      </w:r>
      <w:r>
        <w:t>Program, o którym mowa w § 1, realizowany będzie przez Gminny Ośrodek Pomocy Społecznej w Lipnie.</w:t>
      </w:r>
    </w:p>
    <w:p w:rsidR="00A77B3E" w:rsidRDefault="00FF3739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FF3739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dnia og</w:t>
      </w:r>
      <w:r>
        <w:t>łoszenia w Dzienniku Urzędowym</w:t>
      </w:r>
      <w:r>
        <w:br/>
        <w:t>Województwa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F373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1"/>
        <w:gridCol w:w="4875"/>
        <w:gridCol w:w="4875"/>
        <w:gridCol w:w="5"/>
      </w:tblGrid>
      <w:tr w:rsidR="001D57CB">
        <w:trPr>
          <w:gridBefore w:val="1"/>
          <w:gridAfter w:val="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7CB" w:rsidRDefault="001D57C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7CB" w:rsidRDefault="00FF373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  <w:tr w:rsidR="001D5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A77B3E"/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259" w:lineRule="auto"/>
        <w:jc w:val="center"/>
        <w:rPr>
          <w:rFonts w:ascii="Calibri" w:hAnsi="Calibri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t>PROGRAM OSŁONOWY</w:t>
      </w: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br/>
      </w: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t>„KORPUS WSPARCIA SENIORÓW”</w:t>
      </w: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br/>
        <w:t>NA ROK 2026</w:t>
      </w: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br/>
        <w:t xml:space="preserve">W GMINIE LIPNO </w:t>
      </w:r>
      <w:r>
        <w:rPr>
          <w:b/>
          <w:color w:val="000000"/>
          <w:sz w:val="32"/>
          <w:szCs w:val="20"/>
          <w:shd w:val="clear" w:color="auto" w:fill="FFFFFF"/>
          <w:lang w:eastAsia="en-US" w:bidi="ar-SA"/>
        </w:rPr>
        <w:br/>
      </w:r>
    </w:p>
    <w:p w:rsidR="001D57CB" w:rsidRDefault="001D57CB">
      <w:pPr>
        <w:spacing w:after="160" w:line="259" w:lineRule="auto"/>
        <w:jc w:val="center"/>
        <w:rPr>
          <w:b/>
          <w:color w:val="000000"/>
          <w:sz w:val="32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br/>
      </w: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80465" cy="136334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center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259" w:lineRule="auto"/>
        <w:jc w:val="center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Lipno, styczeń 2026 r.</w:t>
      </w:r>
    </w:p>
    <w:p w:rsidR="001D57CB" w:rsidRDefault="00FF3739">
      <w:pPr>
        <w:keepNext/>
        <w:keepLines/>
        <w:spacing w:before="240" w:line="259" w:lineRule="auto"/>
        <w:jc w:val="left"/>
        <w:outlineLvl w:val="0"/>
        <w:rPr>
          <w:rFonts w:ascii="Calibri" w:hAnsi="Calibri"/>
          <w:color w:val="2F5496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Spis treści</w:t>
      </w:r>
    </w:p>
    <w:p w:rsidR="001D57CB" w:rsidRDefault="001D57CB">
      <w:pPr>
        <w:tabs>
          <w:tab w:val="left" w:pos="44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lang w:eastAsia="en-US" w:bidi="ar-SA"/>
        </w:rPr>
        <w:fldChar w:fldCharType="begin"/>
      </w:r>
      <w:r w:rsidR="00FF3739">
        <w:rPr>
          <w:color w:val="000000"/>
          <w:szCs w:val="20"/>
          <w:lang w:eastAsia="en-US" w:bidi="ar-SA"/>
        </w:rPr>
        <w:instrText xml:space="preserve"> TOC \z \o "1-3" \u \h</w:instrText>
      </w:r>
      <w:r>
        <w:rPr>
          <w:color w:val="000000"/>
          <w:szCs w:val="20"/>
          <w:lang w:eastAsia="en-US" w:bidi="ar-SA"/>
        </w:rPr>
        <w:fldChar w:fldCharType="separate"/>
      </w:r>
      <w:hyperlink w:anchor="_Toc97236841">
        <w:r w:rsidR="00FF3739">
          <w:rPr>
            <w:color w:val="000000"/>
            <w:szCs w:val="20"/>
            <w:lang w:eastAsia="en-US" w:bidi="ar-SA"/>
          </w:rPr>
          <w:t>I.</w:t>
        </w:r>
        <w:r w:rsidR="00FF3739">
          <w:rPr>
            <w:color w:val="000000"/>
            <w:szCs w:val="20"/>
          </w:rPr>
          <w:t xml:space="preserve">     </w:t>
        </w:r>
        <w:r w:rsidR="00FF3739">
          <w:rPr>
            <w:color w:val="000000"/>
            <w:szCs w:val="20"/>
            <w:lang w:eastAsia="en-US" w:bidi="ar-SA"/>
          </w:rPr>
          <w:t>WSTĘP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3</w:t>
      </w:r>
    </w:p>
    <w:p w:rsidR="001D57CB" w:rsidRDefault="001D57CB">
      <w:pPr>
        <w:tabs>
          <w:tab w:val="left" w:pos="44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2">
        <w:r w:rsidR="00FF3739">
          <w:rPr>
            <w:color w:val="000000"/>
            <w:szCs w:val="20"/>
            <w:lang w:eastAsia="en-US" w:bidi="ar-SA"/>
          </w:rPr>
          <w:t>II.</w:t>
        </w:r>
        <w:r w:rsidR="00FF3739">
          <w:rPr>
            <w:color w:val="000000"/>
            <w:szCs w:val="20"/>
          </w:rPr>
          <w:t xml:space="preserve">    </w:t>
        </w:r>
        <w:r w:rsidR="00FF3739">
          <w:rPr>
            <w:color w:val="000000"/>
            <w:szCs w:val="20"/>
            <w:lang w:eastAsia="en-US" w:bidi="ar-SA"/>
          </w:rPr>
          <w:t>PODSTAWA PRAWNA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3</w:t>
      </w:r>
    </w:p>
    <w:p w:rsidR="001D57CB" w:rsidRDefault="001D57CB">
      <w:pPr>
        <w:tabs>
          <w:tab w:val="left" w:pos="66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3">
        <w:r w:rsidR="00FF3739">
          <w:rPr>
            <w:color w:val="000000"/>
            <w:szCs w:val="20"/>
            <w:lang w:eastAsia="en-US" w:bidi="ar-SA"/>
          </w:rPr>
          <w:t>III.</w:t>
        </w:r>
        <w:r w:rsidR="00FF3739">
          <w:rPr>
            <w:color w:val="000000"/>
            <w:szCs w:val="20"/>
          </w:rPr>
          <w:t xml:space="preserve"> </w:t>
        </w:r>
        <w:r w:rsidR="00FF3739">
          <w:rPr>
            <w:color w:val="000000"/>
            <w:szCs w:val="20"/>
            <w:lang w:eastAsia="en-US" w:bidi="ar-SA"/>
          </w:rPr>
          <w:t xml:space="preserve"> </w:t>
        </w:r>
        <w:r w:rsidR="00FF3739">
          <w:rPr>
            <w:color w:val="000000"/>
            <w:szCs w:val="20"/>
          </w:rPr>
          <w:t xml:space="preserve"> </w:t>
        </w:r>
        <w:r w:rsidR="00FF3739">
          <w:rPr>
            <w:color w:val="000000"/>
            <w:szCs w:val="20"/>
            <w:lang w:eastAsia="en-US" w:bidi="ar-SA"/>
          </w:rPr>
          <w:t>CELE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  <w:shd w:val="clear" w:color="auto" w:fill="FFFFFF"/>
          <w:lang w:val="en-US" w:eastAsia="en-US" w:bidi="en-US"/>
        </w:rPr>
        <w:t>3</w:t>
      </w:r>
    </w:p>
    <w:p w:rsidR="001D57CB" w:rsidRDefault="001D57CB">
      <w:pPr>
        <w:tabs>
          <w:tab w:val="left" w:pos="66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4">
        <w:r w:rsidR="00FF3739">
          <w:rPr>
            <w:color w:val="000000"/>
            <w:szCs w:val="20"/>
            <w:lang w:eastAsia="en-US" w:bidi="ar-SA"/>
          </w:rPr>
          <w:t xml:space="preserve">IV. </w:t>
        </w:r>
        <w:r w:rsidR="00FF3739">
          <w:rPr>
            <w:color w:val="000000"/>
            <w:szCs w:val="20"/>
          </w:rPr>
          <w:t xml:space="preserve">  </w:t>
        </w:r>
        <w:r w:rsidR="00FF3739">
          <w:rPr>
            <w:color w:val="000000"/>
            <w:szCs w:val="20"/>
            <w:lang w:eastAsia="en-US" w:bidi="ar-SA"/>
          </w:rPr>
          <w:t>OCENA SYTUACJI WARUNKUJĄCA REALIZACJĘ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4</w:t>
      </w:r>
    </w:p>
    <w:p w:rsidR="001D57CB" w:rsidRDefault="001D57CB">
      <w:pPr>
        <w:tabs>
          <w:tab w:val="left" w:pos="44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5">
        <w:r w:rsidR="00FF3739">
          <w:rPr>
            <w:color w:val="000000"/>
            <w:szCs w:val="20"/>
            <w:lang w:eastAsia="en-US" w:bidi="ar-SA"/>
          </w:rPr>
          <w:t>V.</w:t>
        </w:r>
        <w:r w:rsidR="00FF3739">
          <w:rPr>
            <w:color w:val="000000"/>
            <w:szCs w:val="20"/>
          </w:rPr>
          <w:t xml:space="preserve">    </w:t>
        </w:r>
        <w:r w:rsidR="00FF3739">
          <w:rPr>
            <w:color w:val="000000"/>
            <w:szCs w:val="20"/>
            <w:lang w:eastAsia="en-US" w:bidi="ar-SA"/>
          </w:rPr>
          <w:t>PODMIOT REALIZUJĄCY PROGRAM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4</w:t>
      </w:r>
    </w:p>
    <w:p w:rsidR="001D57CB" w:rsidRDefault="001D57CB">
      <w:pPr>
        <w:tabs>
          <w:tab w:val="left" w:pos="66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6">
        <w:r w:rsidR="00FF3739">
          <w:rPr>
            <w:color w:val="000000"/>
            <w:szCs w:val="20"/>
            <w:lang w:eastAsia="en-US" w:bidi="ar-SA"/>
          </w:rPr>
          <w:t>VI.</w:t>
        </w:r>
        <w:r w:rsidR="00FF3739">
          <w:rPr>
            <w:color w:val="000000"/>
            <w:szCs w:val="20"/>
          </w:rPr>
          <w:t xml:space="preserve">   </w:t>
        </w:r>
        <w:r w:rsidR="00FF3739">
          <w:rPr>
            <w:color w:val="000000"/>
            <w:szCs w:val="20"/>
            <w:lang w:eastAsia="en-US" w:bidi="ar-SA"/>
          </w:rPr>
          <w:t>ZAKRES</w:t>
        </w:r>
        <w:r w:rsidR="00FF3739">
          <w:rPr>
            <w:color w:val="000000"/>
            <w:szCs w:val="20"/>
            <w:lang w:eastAsia="en-US" w:bidi="ar-SA"/>
          </w:rPr>
          <w:t xml:space="preserve"> PODMIOTOWY I PRZEDMIOTOWY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4</w:t>
      </w:r>
    </w:p>
    <w:p w:rsidR="001D57CB" w:rsidRDefault="001D57CB">
      <w:pPr>
        <w:tabs>
          <w:tab w:val="left" w:pos="66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7">
        <w:r w:rsidR="00FF3739">
          <w:rPr>
            <w:color w:val="000000"/>
            <w:szCs w:val="20"/>
            <w:lang w:val="en-US" w:eastAsia="en-US" w:bidi="en-US"/>
          </w:rPr>
          <w:t>VII.</w:t>
        </w:r>
        <w:r w:rsidR="00FF3739">
          <w:rPr>
            <w:color w:val="000000"/>
            <w:szCs w:val="20"/>
            <w:lang w:eastAsia="en-US" w:bidi="ar-SA"/>
          </w:rPr>
          <w:t xml:space="preserve"> </w:t>
        </w:r>
        <w:r w:rsidR="00FF3739">
          <w:rPr>
            <w:color w:val="000000"/>
            <w:szCs w:val="20"/>
          </w:rPr>
          <w:t xml:space="preserve"> </w:t>
        </w:r>
        <w:r w:rsidR="00FF3739">
          <w:rPr>
            <w:color w:val="000000"/>
            <w:szCs w:val="20"/>
            <w:lang w:val="en-US" w:eastAsia="en-US" w:bidi="en-US"/>
          </w:rPr>
          <w:t>FINANSOWANIE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 w:rsidR="00FF3739">
        <w:rPr>
          <w:color w:val="000000"/>
          <w:szCs w:val="20"/>
        </w:rPr>
        <w:t>5</w:t>
      </w:r>
    </w:p>
    <w:p w:rsidR="001D57CB" w:rsidRDefault="001D57CB">
      <w:pPr>
        <w:tabs>
          <w:tab w:val="left" w:pos="660"/>
          <w:tab w:val="right" w:leader="dot" w:pos="9062"/>
        </w:tabs>
        <w:spacing w:after="100" w:line="259" w:lineRule="auto"/>
        <w:jc w:val="left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hyperlink w:anchor="_Toc97236848">
        <w:r w:rsidR="00FF3739">
          <w:rPr>
            <w:color w:val="000000"/>
            <w:szCs w:val="20"/>
            <w:lang w:val="en-US" w:eastAsia="en-US" w:bidi="en-US"/>
          </w:rPr>
          <w:t>VIII. MONITORING PROGRAMU</w:t>
        </w:r>
        <w:r w:rsidR="00FF3739">
          <w:rPr>
            <w:color w:val="000000"/>
            <w:szCs w:val="20"/>
            <w:lang w:val="en-US" w:eastAsia="en-US" w:bidi="en-US"/>
          </w:rPr>
          <w:tab/>
        </w:r>
      </w:hyperlink>
      <w:r>
        <w:rPr>
          <w:color w:val="000000"/>
          <w:szCs w:val="20"/>
          <w:lang w:eastAsia="en-US" w:bidi="ar-SA"/>
        </w:rPr>
        <w:fldChar w:fldCharType="end"/>
      </w:r>
      <w:r w:rsidR="00FF3739">
        <w:rPr>
          <w:color w:val="000000"/>
          <w:szCs w:val="20"/>
        </w:rPr>
        <w:t>5</w:t>
      </w: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  <w:tab w:val="left" w:pos="288"/>
        </w:tabs>
        <w:suppressAutoHyphens/>
        <w:spacing w:before="240" w:line="259" w:lineRule="auto"/>
        <w:ind w:left="567" w:hanging="425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0" w:name="_Toc97236841"/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WSTĘP</w:t>
      </w:r>
      <w:bookmarkEnd w:id="0"/>
    </w:p>
    <w:p w:rsidR="001D57CB" w:rsidRDefault="001D57CB">
      <w:pPr>
        <w:spacing w:after="160"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Program osłonowy „Korpus Wsparcia Seniorów” na rok 2026 w Gminie Lipno, zwany dalej „programem”, jest odpowiedzią na wyzwania, jakie stawiają przed samorządem gminnym zachodzące procesy demograficzne. Jest także elementem lokalnej polityki społecznej w zak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resie wsparcia działań na rzecz seniorów niesamodzielnych ze względu na wiek oraz stan zdrowia. </w:t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Kierując się troską o bezpieczeństwo osób starszych, które nie są w stanie np. poprzez wsparcie rodziny zabezpieczyć podstawowych potrzeb, celowe jest podejmowanie różnego rodzaju działań, które mogą zapewnić możliwość bezpiecznego funkcjonowania seniorów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ich miejscu zamieszkania. Usługa wsparcia, świadczona  w ramach programu, będzie obejmować osoby starsze w wieku 60 lat </w:t>
      </w:r>
      <w:r>
        <w:rPr>
          <w:color w:val="000000"/>
          <w:szCs w:val="20"/>
          <w:shd w:val="clear" w:color="auto" w:fill="FFFFFF"/>
        </w:rPr>
        <w:t xml:space="preserve">           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i więcej, które mają problemy z samodzielnym funkcjonowaniem ze względu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na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stan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zdrowia,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prowadzący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samodzielne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gosp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odarstwa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domowe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lub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mieszkający z osobami bliskimi, które nie są w stanie zapewnić im wystarczającego wsparcia. Program wykorzystuje pojawiające się wciąż nowe technologie w tym m.in. dostęp do nowych narzędzi wspomagających opiekę nad seniorami. Obecn</w:t>
      </w:r>
      <w:r>
        <w:rPr>
          <w:color w:val="000000"/>
          <w:szCs w:val="20"/>
          <w:shd w:val="clear" w:color="auto" w:fill="FFFFFF"/>
          <w:lang w:eastAsia="en-US" w:bidi="ar-SA"/>
        </w:rPr>
        <w:t>e rozwiązania dają możliwość m.in. monitorowania samopoczucia osób starszych przez ich bliskich, nawet jeśli przebywają oni w odległym miejscu. Rozwiązania te pozwalają osobom starszym czuć się bezpieczniej oraz być bardziej samodzielnymi, a w razie potrze</w:t>
      </w:r>
      <w:r>
        <w:rPr>
          <w:color w:val="000000"/>
          <w:szCs w:val="20"/>
          <w:shd w:val="clear" w:color="auto" w:fill="FFFFFF"/>
          <w:lang w:eastAsia="en-US" w:bidi="ar-SA"/>
        </w:rPr>
        <w:t>by szybko powiadomić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bliską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osobę czy też służby ratunkowe o kryzysowej sytuacji, w jakiej się znaleźli.</w:t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Realizacja programu obejmuje swoim zakresem moduł mający na celu poprawę bezpieczeństwa oraz możliwości samodzielnego funkcjonowania w miejscu zamieszk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ania osób starszych przez dostęp do tzw. „opieki na odległość” (teleopieki).     </w:t>
      </w:r>
    </w:p>
    <w:p w:rsidR="001D57CB" w:rsidRDefault="00FF3739">
      <w:pPr>
        <w:spacing w:after="160"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Ponadto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w ramach programu mogą zostać zorganizowane usługi sąsiedzkie obejmujące pomoc</w:t>
      </w:r>
      <w:r>
        <w:rPr>
          <w:color w:val="000000"/>
          <w:szCs w:val="20"/>
          <w:shd w:val="clear" w:color="auto" w:fill="FFFFFF"/>
        </w:rPr>
        <w:t xml:space="preserve">                     </w:t>
      </w:r>
      <w:r>
        <w:rPr>
          <w:color w:val="000000"/>
          <w:szCs w:val="20"/>
          <w:shd w:val="clear" w:color="auto" w:fill="FFFFFF"/>
          <w:lang w:eastAsia="en-US" w:bidi="ar-SA"/>
        </w:rPr>
        <w:t>w zaspokajaniu podstawowych potrzeb życiowych, podstawową opiekę hi</w:t>
      </w:r>
      <w:r>
        <w:rPr>
          <w:color w:val="000000"/>
          <w:szCs w:val="20"/>
          <w:shd w:val="clear" w:color="auto" w:fill="FFFFFF"/>
          <w:lang w:eastAsia="en-US" w:bidi="ar-SA"/>
        </w:rPr>
        <w:t>gieniczno-pielęgnacyjną, przez którą należy rozumieć formy wsparcia niewymagające specjalistycznej wiedzy i kompetencji oraz, w miarę potrzeb i możliwości, zapewnienie kontaktów z otoczeniem.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  <w:tab w:val="left" w:pos="709"/>
        </w:tabs>
        <w:suppressAutoHyphens/>
        <w:spacing w:before="240" w:line="259" w:lineRule="auto"/>
        <w:ind w:left="432" w:hanging="148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1" w:name="_Toc97236842"/>
      <w:r>
        <w:rPr>
          <w:b/>
          <w:color w:val="000000"/>
          <w:szCs w:val="20"/>
          <w:shd w:val="clear" w:color="auto" w:fill="FFFFFF"/>
          <w:lang w:eastAsia="en-US" w:bidi="ar-SA"/>
        </w:rPr>
        <w:t>PODSTAWA PRAWNA PROGRAMU</w:t>
      </w:r>
      <w:bookmarkEnd w:id="1"/>
    </w:p>
    <w:p w:rsidR="001D57CB" w:rsidRDefault="00FF3739">
      <w:pPr>
        <w:spacing w:after="160"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br/>
      </w:r>
      <w:bookmarkStart w:id="2" w:name="_Hlk97292290"/>
      <w:r>
        <w:rPr>
          <w:color w:val="000000"/>
          <w:szCs w:val="20"/>
          <w:shd w:val="clear" w:color="auto" w:fill="FFFFFF"/>
          <w:lang w:val="en-US" w:eastAsia="en-US" w:bidi="en-US"/>
        </w:rPr>
        <w:t>Program jest programem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osłonowym w roz</w:t>
      </w:r>
      <w:r>
        <w:rPr>
          <w:color w:val="000000"/>
          <w:szCs w:val="20"/>
          <w:shd w:val="clear" w:color="auto" w:fill="FFFFFF"/>
          <w:lang w:val="en-US" w:eastAsia="en-US" w:bidi="en-US"/>
        </w:rPr>
        <w:t>umieniu art.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17 ust. 2 pkt 4 ustawy z dnia 12 marca 2004 r. </w:t>
      </w:r>
      <w:r>
        <w:rPr>
          <w:color w:val="000000"/>
          <w:szCs w:val="20"/>
          <w:shd w:val="clear" w:color="auto" w:fill="FFFFFF"/>
        </w:rPr>
        <w:t xml:space="preserve">                 </w:t>
      </w:r>
      <w:r>
        <w:rPr>
          <w:color w:val="000000"/>
          <w:szCs w:val="20"/>
          <w:shd w:val="clear" w:color="auto" w:fill="FFFFFF"/>
          <w:lang w:val="en-US" w:eastAsia="en-US" w:bidi="en-US"/>
        </w:rPr>
        <w:t>o pomocy społecznej, dotyczącym realizacji zadań własnych gminy w zakresie pomocy społecznej. Program został przygotowany w związku z ustanowieniem przez Ministra Rodziny, Pracy i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Polityki Społecznej programu wsparcia finansowego gmin w 2026 r. „Korpus Wsparcia Seniorów” ze środków pochodzących z budżetu państwa. 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spacing w:before="240" w:line="259" w:lineRule="auto"/>
        <w:ind w:left="432" w:hanging="72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3" w:name="_Toc97236843"/>
      <w:bookmarkEnd w:id="2"/>
      <w:r>
        <w:rPr>
          <w:b/>
          <w:color w:val="000000"/>
          <w:szCs w:val="20"/>
          <w:shd w:val="clear" w:color="auto" w:fill="FFFFFF"/>
          <w:lang w:eastAsia="en-US" w:bidi="ar-SA"/>
        </w:rPr>
        <w:t>CELE PROGRAMU</w:t>
      </w:r>
      <w:bookmarkEnd w:id="3"/>
    </w:p>
    <w:p w:rsidR="001D57CB" w:rsidRDefault="001D57CB">
      <w:pPr>
        <w:spacing w:line="360" w:lineRule="auto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Celem programu jest realizacja usług opiekuńczych poprzez dostęp do tzw. „opieki na odległość” mającej </w:t>
      </w:r>
      <w:r>
        <w:rPr>
          <w:color w:val="000000"/>
          <w:szCs w:val="20"/>
          <w:shd w:val="clear" w:color="auto" w:fill="FFFFFF"/>
          <w:lang w:eastAsia="en-US" w:bidi="ar-SA"/>
        </w:rPr>
        <w:t>na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celu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poprawę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bezpieczeństwa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oraz możliwości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samodzielnego funkcjonowania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miejscu </w:t>
      </w: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 xml:space="preserve">zamieszkania osób starszych oraz rozwój działań samopomocowych poprzez uruchomienie </w:t>
      </w:r>
      <w:r>
        <w:rPr>
          <w:color w:val="000000"/>
          <w:szCs w:val="20"/>
          <w:shd w:val="clear" w:color="auto" w:fill="FFFFFF"/>
        </w:rPr>
        <w:t xml:space="preserve">                      </w:t>
      </w:r>
      <w:r>
        <w:rPr>
          <w:color w:val="000000"/>
          <w:szCs w:val="20"/>
          <w:shd w:val="clear" w:color="auto" w:fill="FFFFFF"/>
          <w:lang w:eastAsia="en-US" w:bidi="ar-SA"/>
        </w:rPr>
        <w:t>i utrzymanie usług opiekuńczych świadczonych w formie usług sąsi</w:t>
      </w:r>
      <w:r>
        <w:rPr>
          <w:color w:val="000000"/>
          <w:szCs w:val="20"/>
          <w:shd w:val="clear" w:color="auto" w:fill="FFFFFF"/>
          <w:lang w:eastAsia="en-US" w:bidi="ar-SA"/>
        </w:rPr>
        <w:t>edzkich.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spacing w:before="240" w:line="259" w:lineRule="auto"/>
        <w:ind w:left="432" w:hanging="72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4" w:name="_Toc97236844"/>
      <w:r>
        <w:rPr>
          <w:b/>
          <w:color w:val="000000"/>
          <w:szCs w:val="20"/>
          <w:shd w:val="clear" w:color="auto" w:fill="FFFFFF"/>
          <w:lang w:eastAsia="en-US" w:bidi="ar-SA"/>
        </w:rPr>
        <w:t>OCENA SYTUACJI WARUNKUJĄCA REALIZACJĘ PROGRAMU</w:t>
      </w:r>
      <w:bookmarkEnd w:id="4"/>
    </w:p>
    <w:p w:rsidR="001D57CB" w:rsidRDefault="001D57CB">
      <w:pPr>
        <w:spacing w:line="360" w:lineRule="auto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Z danych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Urzędu Gminy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Lipno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wynika, że według stanu na dzień 31 grudnia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r. liczba osób </w:t>
      </w:r>
      <w:r>
        <w:rPr>
          <w:color w:val="000000"/>
          <w:szCs w:val="20"/>
          <w:shd w:val="clear" w:color="auto" w:fill="FFFFFF"/>
        </w:rPr>
        <w:t xml:space="preserve">              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w wieku 60 lat i więcej wynosiła 1624 osoby, co stanowiło 16,2% ogółu mieszkańców Gminy Lipno. Potrzeba wsparcia osób starszych jest jednym z istotnych zadań spoczywających na jednostkach lokalnego samorządu. </w:t>
      </w:r>
      <w:bookmarkStart w:id="5" w:name="_Hlk97292485"/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Wielu seniorów mieszka samotnie, a ich stan zd</w:t>
      </w:r>
      <w:r>
        <w:rPr>
          <w:color w:val="000000"/>
          <w:szCs w:val="20"/>
          <w:shd w:val="clear" w:color="auto" w:fill="FFFFFF"/>
          <w:lang w:val="en-US" w:eastAsia="en-US" w:bidi="en-US"/>
        </w:rPr>
        <w:t>rowia często wymaga stałego monitorowania. Teleopieka (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„opieka na odległość”) gwarantuje szeroko pojęty system bieżącego monitorowania stanu seniorów w miejscu zamieszkania, a także pozwala na podejmowanie natychmiastowej reakcji </w:t>
      </w:r>
      <w:r>
        <w:rPr>
          <w:color w:val="000000"/>
          <w:szCs w:val="20"/>
          <w:shd w:val="clear" w:color="auto" w:fill="FFFFFF"/>
        </w:rPr>
        <w:t xml:space="preserve">                    </w:t>
      </w:r>
      <w:r>
        <w:rPr>
          <w:color w:val="000000"/>
          <w:szCs w:val="20"/>
          <w:shd w:val="clear" w:color="auto" w:fill="FFFFFF"/>
          <w:lang w:eastAsia="en-US" w:bidi="ar-SA"/>
        </w:rPr>
        <w:t>w sytu</w:t>
      </w:r>
      <w:r>
        <w:rPr>
          <w:color w:val="000000"/>
          <w:szCs w:val="20"/>
          <w:shd w:val="clear" w:color="auto" w:fill="FFFFFF"/>
          <w:lang w:eastAsia="en-US" w:bidi="ar-SA"/>
        </w:rPr>
        <w:t>acji zagrożenia zdrowia lub życia seniora – zarówno spowodowanego problemami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                          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zachowaniu funkcji życiowych, jak również w sytuacji wystąpienia incydentów w miejscu zamieszkania. </w:t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Z kolei pomoc świadczona w ramach usług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sąsiedzkich przez osoby z najbliższego otoczenia osoby wymagającej tego wsparcia ma na celu gwarancję większej elastyczności udzielanej pomocy, która nie musi być ograniczona konkretnymi dniami i godzinami, a może być świadczona adekwatnie do zaistniałych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potrzeb. Usługi sąsiedzkie świadczone w ramach programu mogą zostać przyznane osobie samotnej w wieku 60 lat i więcej, która z powodu wieku, choroby lub innych przyczyn wymaga pomocy innych osób, a jest jej pozbawiona, a rodzina, a także osoby bliskie nie </w:t>
      </w:r>
      <w:r>
        <w:rPr>
          <w:color w:val="000000"/>
          <w:szCs w:val="20"/>
          <w:shd w:val="clear" w:color="auto" w:fill="FFFFFF"/>
          <w:lang w:eastAsia="en-US" w:bidi="ar-SA"/>
        </w:rPr>
        <w:t>mogą takiej pomocy zapewnić.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  <w:tab w:val="left" w:pos="144"/>
        </w:tabs>
        <w:suppressAutoHyphens/>
        <w:spacing w:before="240" w:line="259" w:lineRule="auto"/>
        <w:ind w:left="432" w:hanging="288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6" w:name="_Toc97236845"/>
      <w:bookmarkEnd w:id="5"/>
      <w:r>
        <w:rPr>
          <w:b/>
          <w:color w:val="000000"/>
          <w:szCs w:val="20"/>
          <w:shd w:val="clear" w:color="auto" w:fill="FFFFFF"/>
          <w:lang w:eastAsia="en-US" w:bidi="ar-SA"/>
        </w:rPr>
        <w:t>PODMIOT REALIZUJĄCY PROGRAM</w:t>
      </w:r>
      <w:bookmarkEnd w:id="6"/>
    </w:p>
    <w:p w:rsidR="001D57CB" w:rsidRDefault="001D57CB">
      <w:pPr>
        <w:spacing w:line="259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after="160" w:line="360" w:lineRule="auto"/>
        <w:rPr>
          <w:rFonts w:ascii="Calibri" w:hAnsi="Calibri"/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Program będzie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realizowany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koordynowany przez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Gminny Ośrodek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Pomocy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Społecznej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w Lipnie. 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240" w:line="259" w:lineRule="auto"/>
        <w:ind w:left="432" w:hanging="159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7" w:name="_Hlk96083566"/>
      <w:bookmarkStart w:id="8" w:name="_Toc97236846"/>
      <w:r>
        <w:rPr>
          <w:b/>
          <w:color w:val="000000"/>
          <w:szCs w:val="20"/>
          <w:shd w:val="clear" w:color="auto" w:fill="FFFFFF"/>
          <w:lang w:eastAsia="en-US" w:bidi="ar-SA"/>
        </w:rPr>
        <w:t>ZAKRES PODMIOTOWY I PRZEDMIOTOWY PROGRAMU</w:t>
      </w:r>
      <w:bookmarkEnd w:id="7"/>
      <w:bookmarkEnd w:id="8"/>
      <w:r>
        <w:rPr>
          <w:b/>
          <w:color w:val="000000"/>
          <w:szCs w:val="20"/>
          <w:shd w:val="clear" w:color="auto" w:fill="FFFFFF"/>
          <w:lang w:eastAsia="en-US" w:bidi="ar-SA"/>
        </w:rPr>
        <w:br/>
      </w:r>
    </w:p>
    <w:p w:rsidR="001D57CB" w:rsidRDefault="00FF3739">
      <w:pPr>
        <w:numPr>
          <w:ilvl w:val="0"/>
          <w:numId w:val="2"/>
        </w:numPr>
        <w:tabs>
          <w:tab w:val="left" w:pos="0"/>
        </w:tabs>
        <w:suppressAutoHyphens/>
        <w:spacing w:after="160" w:line="360" w:lineRule="auto"/>
        <w:ind w:left="426" w:hanging="426"/>
        <w:contextualSpacing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Program będzie realizowany do dnia 31 grudnia 2026 r.</w:t>
      </w:r>
    </w:p>
    <w:p w:rsidR="001D57CB" w:rsidRDefault="00FF3739">
      <w:pPr>
        <w:numPr>
          <w:ilvl w:val="0"/>
          <w:numId w:val="2"/>
        </w:numPr>
        <w:tabs>
          <w:tab w:val="left" w:pos="0"/>
        </w:tabs>
        <w:suppressAutoHyphens/>
        <w:spacing w:after="160" w:line="360" w:lineRule="auto"/>
        <w:ind w:left="426" w:hanging="426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Do </w:t>
      </w:r>
      <w:r>
        <w:rPr>
          <w:color w:val="000000"/>
          <w:szCs w:val="20"/>
          <w:shd w:val="clear" w:color="auto" w:fill="FFFFFF"/>
          <w:lang w:eastAsia="en-US" w:bidi="ar-SA"/>
        </w:rPr>
        <w:t>programu kwalifikowani będą seniorzy w wieku 60 lat i więcej z terenu gminy Lipno, którzy mają problemy z samodzielnym funkcjonowaniem ze względu na stan zdrowia, prowadzący samodzielne gospodarstwo domowe lub mieszkający z osobami bliskimi, które nie są w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stanie zapewnić im wystarczającego wsparcia.</w:t>
      </w:r>
    </w:p>
    <w:p w:rsidR="001D57CB" w:rsidRDefault="00FF3739">
      <w:pPr>
        <w:numPr>
          <w:ilvl w:val="0"/>
          <w:numId w:val="2"/>
        </w:numPr>
        <w:tabs>
          <w:tab w:val="left" w:pos="0"/>
        </w:tabs>
        <w:suppressAutoHyphens/>
        <w:spacing w:after="160" w:line="360" w:lineRule="auto"/>
        <w:ind w:left="426" w:hanging="426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Realizacja programu będzie polegała na zapewnieniu dostępu do tzw. „opasek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bezpieczeństwa” wyposażonych w następujące funkcje: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przycisk bezpieczeństwa – sygnał SOS,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detektor upadku,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czujnik zdjęcia opaski,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t>lokalizator GPS,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funkcje umożliwiające komunikowanie się z centrum obsługi i opiekunami,</w:t>
      </w:r>
    </w:p>
    <w:p w:rsidR="001D57CB" w:rsidRDefault="00FF3739">
      <w:pPr>
        <w:numPr>
          <w:ilvl w:val="0"/>
          <w:numId w:val="3"/>
        </w:numPr>
        <w:tabs>
          <w:tab w:val="left" w:pos="0"/>
        </w:tabs>
        <w:suppressAutoHyphens/>
        <w:spacing w:line="360" w:lineRule="auto"/>
        <w:contextualSpacing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funkcje monitorujące podstawowe czynności życiowe (puls i saturacja).</w:t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Opaska bezpieczeństwa jest połączona z usługą operatora pomocy – w przypadku trudnej sytuacji lub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nagłego zagrożenia wciśnięcie guzika alarmowego, znajdującego się na opasce, umożliwia połączenie się ze stale gotową do interwencji centralą. Opaska pod względem funkcjonalności oraz dopasowania dla osób starszych jest prosta w obsłudze </w:t>
      </w:r>
      <w:r>
        <w:rPr>
          <w:color w:val="000000"/>
          <w:szCs w:val="20"/>
          <w:shd w:val="clear" w:color="auto" w:fill="FFFFFF"/>
        </w:rPr>
        <w:t xml:space="preserve">gdyż </w:t>
      </w:r>
      <w:r>
        <w:rPr>
          <w:color w:val="000000"/>
          <w:szCs w:val="20"/>
          <w:shd w:val="clear" w:color="auto" w:fill="FFFFFF"/>
          <w:lang w:eastAsia="en-US" w:bidi="ar-SA"/>
        </w:rPr>
        <w:t>posiada tylk</w:t>
      </w:r>
      <w:r>
        <w:rPr>
          <w:color w:val="000000"/>
          <w:szCs w:val="20"/>
          <w:shd w:val="clear" w:color="auto" w:fill="FFFFFF"/>
          <w:lang w:eastAsia="en-US" w:bidi="ar-SA"/>
        </w:rPr>
        <w:t>o jeden przycisk. Po odebraniu zgłoszenia dyspozytor (ratownik medyczny, opiekun medyczny, pielęgniarka) podejmuje decyzję o sposobie udzielenia pomocy seniorowi. W zależności od sytuacji może on zapewnić wsparcie emocjonalne przez telefon, poprosić o inte</w:t>
      </w:r>
      <w:r>
        <w:rPr>
          <w:color w:val="000000"/>
          <w:szCs w:val="20"/>
          <w:shd w:val="clear" w:color="auto" w:fill="FFFFFF"/>
          <w:lang w:eastAsia="en-US" w:bidi="ar-SA"/>
        </w:rPr>
        <w:t>rwencję kogoś z jego najbliższego otoczenia (rodzinę, sąsiadów, opiekunów), poprosić o interwencję pracownika Gminnego Ośrodka Pomocy Społecznej w Lipnie lub wezwać służby ratunkowe.</w:t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W ramach realizacji programu można wybrać zlecanie realizacji usług sąsie</w:t>
      </w:r>
      <w:r>
        <w:rPr>
          <w:color w:val="000000"/>
          <w:szCs w:val="20"/>
          <w:shd w:val="clear" w:color="auto" w:fill="FFFFFF"/>
          <w:lang w:eastAsia="en-US" w:bidi="ar-SA"/>
        </w:rPr>
        <w:t>dzkich organizacjom pozarządowym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zgodnie z przepisami ustawy z dnia 24 kwietnia 2003 r. o działalności pożytku publicznego i o wolontariacie (tekst jedn. Dz. U. z 2025 r. poz. 1338), jak również wykonywać je samodzielnie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tj. przez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pracowników</w:t>
      </w:r>
      <w:r>
        <w:rPr>
          <w:color w:val="000000"/>
          <w:szCs w:val="20"/>
          <w:shd w:val="clear" w:color="auto" w:fill="FFFFFF"/>
        </w:rPr>
        <w:t xml:space="preserve"> Gminnego O</w:t>
      </w:r>
      <w:r>
        <w:rPr>
          <w:color w:val="000000"/>
          <w:szCs w:val="20"/>
          <w:shd w:val="clear" w:color="auto" w:fill="FFFFFF"/>
          <w:lang w:eastAsia="en-US" w:bidi="ar-SA"/>
        </w:rPr>
        <w:t>śr</w:t>
      </w:r>
      <w:r>
        <w:rPr>
          <w:color w:val="000000"/>
          <w:szCs w:val="20"/>
          <w:shd w:val="clear" w:color="auto" w:fill="FFFFFF"/>
          <w:lang w:eastAsia="en-US" w:bidi="ar-SA"/>
        </w:rPr>
        <w:t>odka</w:t>
      </w:r>
      <w:r>
        <w:rPr>
          <w:color w:val="000000"/>
          <w:szCs w:val="20"/>
          <w:shd w:val="clear" w:color="auto" w:fill="FFFFFF"/>
        </w:rPr>
        <w:t xml:space="preserve"> P</w:t>
      </w:r>
      <w:r>
        <w:rPr>
          <w:color w:val="000000"/>
          <w:szCs w:val="20"/>
          <w:shd w:val="clear" w:color="auto" w:fill="FFFFFF"/>
          <w:lang w:eastAsia="en-US" w:bidi="ar-SA"/>
        </w:rPr>
        <w:t>omocy</w:t>
      </w:r>
      <w:r>
        <w:rPr>
          <w:color w:val="000000"/>
          <w:szCs w:val="20"/>
          <w:shd w:val="clear" w:color="auto" w:fill="FFFFFF"/>
        </w:rPr>
        <w:t xml:space="preserve"> S</w:t>
      </w:r>
      <w:r>
        <w:rPr>
          <w:color w:val="000000"/>
          <w:szCs w:val="20"/>
          <w:shd w:val="clear" w:color="auto" w:fill="FFFFFF"/>
          <w:lang w:eastAsia="en-US" w:bidi="ar-SA"/>
        </w:rPr>
        <w:t>połecznej</w:t>
      </w:r>
      <w:r>
        <w:rPr>
          <w:color w:val="000000"/>
          <w:szCs w:val="20"/>
          <w:shd w:val="clear" w:color="auto" w:fill="FFFFFF"/>
        </w:rPr>
        <w:t xml:space="preserve"> w Lipnie </w:t>
      </w:r>
      <w:r>
        <w:rPr>
          <w:color w:val="000000"/>
          <w:szCs w:val="20"/>
          <w:shd w:val="clear" w:color="auto" w:fill="FFFFFF"/>
          <w:lang w:eastAsia="en-US" w:bidi="ar-SA"/>
        </w:rPr>
        <w:t>w zakresie organizacji i koordynacji usług opiekuńczych świadczonych w formie usług sąsiedzkich.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</w:tabs>
        <w:suppressAutoHyphens/>
        <w:spacing w:before="240" w:line="259" w:lineRule="auto"/>
        <w:ind w:left="432" w:hanging="72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9" w:name="_Toc97236847"/>
      <w:r>
        <w:rPr>
          <w:b/>
          <w:color w:val="000000"/>
          <w:szCs w:val="20"/>
          <w:shd w:val="clear" w:color="auto" w:fill="FFFFFF"/>
          <w:lang w:val="en-US" w:eastAsia="en-US" w:bidi="en-US"/>
        </w:rPr>
        <w:t>FINANSOWANIE PROGRAMU</w:t>
      </w:r>
      <w:bookmarkEnd w:id="9"/>
      <w:r>
        <w:rPr>
          <w:b/>
          <w:color w:val="000000"/>
          <w:szCs w:val="20"/>
          <w:shd w:val="clear" w:color="auto" w:fill="FFFFFF"/>
          <w:lang w:val="en-US" w:eastAsia="en-US" w:bidi="en-US"/>
        </w:rPr>
        <w:br/>
      </w: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Program finansowany będzie z budżetu państwa w formie dotacji celowej na dofinansowanie zadań własnych z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zakresu pomocy społecznej, przy czym wysokość tej dotacji nie może przekroczyć 80% kosztów realizacji zadania. </w:t>
      </w:r>
    </w:p>
    <w:p w:rsidR="001D57CB" w:rsidRDefault="00FF3739">
      <w:pPr>
        <w:keepNext/>
        <w:keepLines/>
        <w:numPr>
          <w:ilvl w:val="0"/>
          <w:numId w:val="1"/>
        </w:numPr>
        <w:tabs>
          <w:tab w:val="left" w:pos="0"/>
          <w:tab w:val="left" w:pos="432"/>
          <w:tab w:val="left" w:pos="567"/>
        </w:tabs>
        <w:suppressAutoHyphens/>
        <w:spacing w:before="240" w:line="259" w:lineRule="auto"/>
        <w:ind w:left="288" w:firstLine="138"/>
        <w:jc w:val="left"/>
        <w:outlineLvl w:val="0"/>
        <w:rPr>
          <w:b/>
          <w:color w:val="000000"/>
          <w:szCs w:val="20"/>
          <w:shd w:val="clear" w:color="auto" w:fill="FFFFFF"/>
          <w:lang w:val="en-US" w:eastAsia="en-US" w:bidi="en-US"/>
        </w:rPr>
      </w:pPr>
      <w:bookmarkStart w:id="10" w:name="_Toc97236848"/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en-US" w:eastAsia="en-US" w:bidi="en-US"/>
        </w:rPr>
        <w:t>MONITORING PROGRAMU</w:t>
      </w:r>
      <w:bookmarkEnd w:id="10"/>
    </w:p>
    <w:p w:rsidR="001D57CB" w:rsidRDefault="001D57CB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1D57CB" w:rsidRDefault="00FF3739">
      <w:pPr>
        <w:spacing w:line="360" w:lineRule="auto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Z realizacji programu sporządzone zostanie roczne sprawozdanie uwzględniające liczbę osób objętych wsparciem w ramach </w:t>
      </w:r>
      <w:r>
        <w:rPr>
          <w:color w:val="000000"/>
          <w:szCs w:val="20"/>
          <w:shd w:val="clear" w:color="auto" w:fill="FFFFFF"/>
          <w:lang w:eastAsia="en-US" w:bidi="ar-SA"/>
        </w:rPr>
        <w:t>programu oraz koszt realizacji pomocy.</w:t>
      </w:r>
      <w:r w:rsidR="001D57CB">
        <w:rPr>
          <w:color w:val="000000"/>
          <w:szCs w:val="20"/>
          <w:shd w:val="clear" w:color="auto" w:fill="FFFFFF"/>
          <w:lang w:eastAsia="en-US" w:bidi="ar-SA"/>
        </w:rPr>
        <w:fldChar w:fldCharType="begin"/>
      </w:r>
      <w:r w:rsidR="001D57CB">
        <w:rPr>
          <w:color w:val="000000"/>
          <w:szCs w:val="20"/>
          <w:shd w:val="clear" w:color="auto" w:fill="FFFFFF"/>
          <w:lang w:eastAsia="en-US" w:bidi="ar-SA"/>
        </w:rPr>
        <w:fldChar w:fldCharType="end"/>
      </w:r>
    </w:p>
    <w:p w:rsidR="001D57CB" w:rsidRDefault="001D57CB">
      <w:pPr>
        <w:jc w:val="left"/>
        <w:rPr>
          <w:color w:val="000000"/>
          <w:szCs w:val="20"/>
          <w:shd w:val="clear" w:color="auto" w:fill="FFFFFF"/>
          <w:lang w:eastAsia="en-US" w:bidi="ar-SA"/>
        </w:rPr>
        <w:sectPr w:rsidR="001D57CB">
          <w:footerReference w:type="default" r:id="rId9"/>
          <w:pgSz w:w="11907" w:h="16839" w:code="9"/>
          <w:pgMar w:top="1417" w:right="1417" w:bottom="1417" w:left="1417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</w:p>
    <w:p w:rsidR="001D57CB" w:rsidRDefault="00FF3739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1D57CB" w:rsidRDefault="00FF3739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Program osłonowy „Korpus Wsparcia Seniorów” na rok 2026 w Gminie Lipno jest programem osłonowym w rozumieniu art. 17 ust. 2 pkt 4 ustawy z dnia 12 marca </w:t>
      </w:r>
      <w:r>
        <w:rPr>
          <w:szCs w:val="20"/>
        </w:rPr>
        <w:t>2004 r. o pomocy społecznej, dotyczącym realizacji zadań własnych gminy w zakresie pomocy społecznej.</w:t>
      </w:r>
    </w:p>
    <w:p w:rsidR="001D57CB" w:rsidRDefault="00FF3739">
      <w:pPr>
        <w:spacing w:before="120" w:after="120"/>
        <w:ind w:firstLine="227"/>
        <w:rPr>
          <w:szCs w:val="20"/>
        </w:rPr>
      </w:pPr>
      <w:r>
        <w:rPr>
          <w:szCs w:val="20"/>
        </w:rPr>
        <w:t>Program został przygotowany w związku z ustanowieniem przez Ministra Rodziny, Pracy i Polityki Społecznej programu wsparcia finansowego gmin w 2026 r. „Ko</w:t>
      </w:r>
      <w:r>
        <w:rPr>
          <w:szCs w:val="20"/>
        </w:rPr>
        <w:t>rpus Wsparcia Seniorów” ze środków pochodzących z budżetu państwa w formie dotacji celowej na dofinansowanie zadań własnych z zakresu pomocy społecznej.</w:t>
      </w:r>
    </w:p>
    <w:p w:rsidR="001D57CB" w:rsidRDefault="00FF3739">
      <w:pPr>
        <w:spacing w:before="120" w:after="120"/>
        <w:ind w:firstLine="227"/>
        <w:rPr>
          <w:szCs w:val="20"/>
        </w:rPr>
      </w:pPr>
      <w:r>
        <w:rPr>
          <w:szCs w:val="20"/>
        </w:rPr>
        <w:t>Celem programu jest poprawa poczucia bezpieczeństwa oraz możliwości samodzielnego funkcjonowania w miej</w:t>
      </w:r>
      <w:r>
        <w:rPr>
          <w:szCs w:val="20"/>
        </w:rPr>
        <w:t>scu zamieszkania seniorów w wieku 60 lat i więcej, wynikających z rozeznanych potrzeb na terenie gminy poprzez dostęp do tzw. „opieki na odległość”, jak również  wsparcie finansowe gmin w zakresie organizowania usług opiekuńczych świadczonych w formie usłu</w:t>
      </w:r>
      <w:r>
        <w:rPr>
          <w:szCs w:val="20"/>
        </w:rPr>
        <w:t>g sąsiedzkich.</w:t>
      </w:r>
    </w:p>
    <w:p w:rsidR="001D57CB" w:rsidRDefault="00FF3739">
      <w:pPr>
        <w:keepNext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1D57CB" w:rsidRDefault="00FF3739">
      <w:pPr>
        <w:keepNext/>
        <w:rPr>
          <w:szCs w:val="20"/>
        </w:rPr>
      </w:pPr>
      <w:r>
        <w:rPr>
          <w:szCs w:val="20"/>
        </w:rPr>
        <w:t> 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1D57CB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7CB" w:rsidRDefault="001D57C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57CB" w:rsidRDefault="001D57CB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FF3739">
                <w:rPr>
                  <w:color w:val="000000"/>
                  <w:szCs w:val="20"/>
                </w:rPr>
                <w:t>Przewodniczący Rady Gminy Lipno</w:t>
              </w:r>
            </w:fldSimple>
            <w:r w:rsidR="00FF3739">
              <w:rPr>
                <w:color w:val="000000"/>
                <w:szCs w:val="20"/>
              </w:rPr>
              <w:br/>
            </w:r>
            <w:r w:rsidR="00FF3739">
              <w:rPr>
                <w:color w:val="000000"/>
                <w:szCs w:val="20"/>
              </w:rPr>
              <w:br/>
            </w:r>
            <w:r w:rsidR="00FF3739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FF3739">
                <w:rPr>
                  <w:b/>
                  <w:color w:val="000000"/>
                  <w:szCs w:val="20"/>
                </w:rPr>
                <w:t>Bartosz</w:t>
              </w:r>
            </w:fldSimple>
            <w:r w:rsidR="00FF3739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FF3739">
                <w:rPr>
                  <w:b/>
                  <w:color w:val="000000"/>
                  <w:szCs w:val="20"/>
                </w:rPr>
                <w:t>Zięba</w:t>
              </w:r>
            </w:fldSimple>
            <w:r w:rsidR="00FF3739">
              <w:rPr>
                <w:b/>
                <w:color w:val="000000"/>
                <w:szCs w:val="20"/>
              </w:rPr>
              <w:t> </w:t>
            </w:r>
          </w:p>
        </w:tc>
      </w:tr>
    </w:tbl>
    <w:p w:rsidR="001D57CB" w:rsidRDefault="001D57CB">
      <w:pPr>
        <w:keepNext/>
        <w:rPr>
          <w:szCs w:val="20"/>
        </w:rPr>
      </w:pPr>
    </w:p>
    <w:sectPr w:rsidR="001D57CB" w:rsidSect="001D57CB">
      <w:footerReference w:type="default" r:id="rId10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39" w:rsidRDefault="00FF3739" w:rsidP="001D57CB">
      <w:r>
        <w:separator/>
      </w:r>
    </w:p>
  </w:endnote>
  <w:endnote w:type="continuationSeparator" w:id="0">
    <w:p w:rsidR="00FF3739" w:rsidRDefault="00FF3739" w:rsidP="001D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D57C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D57C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15C4">
            <w:rPr>
              <w:sz w:val="18"/>
            </w:rPr>
            <w:fldChar w:fldCharType="separate"/>
          </w:r>
          <w:r w:rsidR="003115C4">
            <w:rPr>
              <w:noProof/>
              <w:sz w:val="18"/>
            </w:rPr>
            <w:t>1</w:t>
          </w:r>
          <w:r w:rsidR="001D57CB">
            <w:rPr>
              <w:sz w:val="18"/>
            </w:rPr>
            <w:fldChar w:fldCharType="end"/>
          </w:r>
        </w:p>
      </w:tc>
    </w:tr>
  </w:tbl>
  <w:p w:rsidR="001D57CB" w:rsidRDefault="001D57C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3"/>
      <w:gridCol w:w="3096"/>
    </w:tblGrid>
    <w:tr w:rsidR="001D57CB">
      <w:tc>
        <w:tcPr>
          <w:tcW w:w="604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D57C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15C4">
            <w:rPr>
              <w:sz w:val="18"/>
            </w:rPr>
            <w:fldChar w:fldCharType="separate"/>
          </w:r>
          <w:r w:rsidR="003115C4">
            <w:rPr>
              <w:noProof/>
              <w:sz w:val="18"/>
            </w:rPr>
            <w:t>5</w:t>
          </w:r>
          <w:r w:rsidR="001D57CB">
            <w:rPr>
              <w:sz w:val="18"/>
            </w:rPr>
            <w:fldChar w:fldCharType="end"/>
          </w:r>
        </w:p>
      </w:tc>
    </w:tr>
  </w:tbl>
  <w:p w:rsidR="001D57CB" w:rsidRDefault="001D57C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1D57CB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1D57CB" w:rsidRDefault="00FF37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D57C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115C4">
            <w:rPr>
              <w:sz w:val="18"/>
            </w:rPr>
            <w:fldChar w:fldCharType="separate"/>
          </w:r>
          <w:r w:rsidR="003115C4">
            <w:rPr>
              <w:noProof/>
              <w:sz w:val="18"/>
            </w:rPr>
            <w:t>6</w:t>
          </w:r>
          <w:r w:rsidR="001D57CB">
            <w:rPr>
              <w:sz w:val="18"/>
            </w:rPr>
            <w:fldChar w:fldCharType="end"/>
          </w:r>
        </w:p>
      </w:tc>
    </w:tr>
  </w:tbl>
  <w:p w:rsidR="001D57CB" w:rsidRDefault="001D57C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39" w:rsidRDefault="00FF3739" w:rsidP="001D57CB">
      <w:r>
        <w:separator/>
      </w:r>
    </w:p>
  </w:footnote>
  <w:footnote w:type="continuationSeparator" w:id="0">
    <w:p w:rsidR="00FF3739" w:rsidRDefault="00FF3739" w:rsidP="001D5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C23F0"/>
    <w:multiLevelType w:val="multilevel"/>
    <w:tmpl w:val="00000000"/>
    <w:lvl w:ilvl="0">
      <w:start w:val="1"/>
      <w:numFmt w:val="decimal"/>
      <w:lvlText w:val="%1."/>
      <w:lvlJc w:val="left"/>
      <w:pPr>
        <w:suppressAutoHyphens w:val="0"/>
        <w:ind w:left="720" w:hanging="360"/>
      </w:pPr>
    </w:lvl>
    <w:lvl w:ilvl="1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>
      <w:start w:val="1"/>
      <w:numFmt w:val="decimal"/>
      <w:lvlText w:val="%4."/>
      <w:lvlJc w:val="left"/>
      <w:pPr>
        <w:suppressAutoHyphens w:val="0"/>
        <w:ind w:left="2880" w:hanging="360"/>
      </w:pPr>
    </w:lvl>
    <w:lvl w:ilvl="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>
      <w:start w:val="1"/>
      <w:numFmt w:val="decimal"/>
      <w:lvlText w:val="%7."/>
      <w:lvlJc w:val="left"/>
      <w:pPr>
        <w:suppressAutoHyphens w:val="0"/>
        <w:ind w:left="5040" w:hanging="360"/>
      </w:pPr>
    </w:lvl>
    <w:lvl w:ilvl="7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1">
    <w:nsid w:val="3BFE42F3"/>
    <w:multiLevelType w:val="multilevel"/>
    <w:tmpl w:val="00000000"/>
    <w:lvl w:ilvl="0">
      <w:start w:val="1"/>
      <w:numFmt w:val="decimal"/>
      <w:lvlText w:val="%1)"/>
      <w:lvlJc w:val="left"/>
      <w:pPr>
        <w:suppressAutoHyphens w:val="0"/>
        <w:ind w:left="108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suppressAutoHyphens w:val="0"/>
        <w:ind w:left="1800" w:hanging="360"/>
      </w:pPr>
    </w:lvl>
    <w:lvl w:ilvl="2">
      <w:start w:val="1"/>
      <w:numFmt w:val="lowerRoman"/>
      <w:lvlText w:val="%3."/>
      <w:lvlJc w:val="right"/>
      <w:pPr>
        <w:suppressAutoHyphens w:val="0"/>
        <w:ind w:left="2520" w:hanging="180"/>
      </w:pPr>
    </w:lvl>
    <w:lvl w:ilvl="3">
      <w:start w:val="1"/>
      <w:numFmt w:val="decimal"/>
      <w:lvlText w:val="%4."/>
      <w:lvlJc w:val="left"/>
      <w:pPr>
        <w:suppressAutoHyphens w:val="0"/>
        <w:ind w:left="3240" w:hanging="360"/>
      </w:pPr>
    </w:lvl>
    <w:lvl w:ilvl="4">
      <w:start w:val="1"/>
      <w:numFmt w:val="lowerLetter"/>
      <w:lvlText w:val="%5."/>
      <w:lvlJc w:val="left"/>
      <w:pPr>
        <w:suppressAutoHyphens w:val="0"/>
        <w:ind w:left="3960" w:hanging="360"/>
      </w:pPr>
    </w:lvl>
    <w:lvl w:ilvl="5">
      <w:start w:val="1"/>
      <w:numFmt w:val="lowerRoman"/>
      <w:lvlText w:val="%6."/>
      <w:lvlJc w:val="right"/>
      <w:pPr>
        <w:suppressAutoHyphens w:val="0"/>
        <w:ind w:left="4680" w:hanging="180"/>
      </w:pPr>
    </w:lvl>
    <w:lvl w:ilvl="6">
      <w:start w:val="1"/>
      <w:numFmt w:val="decimal"/>
      <w:lvlText w:val="%7."/>
      <w:lvlJc w:val="left"/>
      <w:pPr>
        <w:suppressAutoHyphens w:val="0"/>
        <w:ind w:left="5400" w:hanging="360"/>
      </w:pPr>
    </w:lvl>
    <w:lvl w:ilvl="7">
      <w:start w:val="1"/>
      <w:numFmt w:val="lowerLetter"/>
      <w:lvlText w:val="%8."/>
      <w:lvlJc w:val="left"/>
      <w:pPr>
        <w:suppressAutoHyphens w:val="0"/>
        <w:ind w:left="6120" w:hanging="360"/>
      </w:pPr>
    </w:lvl>
    <w:lvl w:ilvl="8">
      <w:start w:val="1"/>
      <w:numFmt w:val="lowerRoman"/>
      <w:lvlText w:val="%9."/>
      <w:lvlJc w:val="right"/>
      <w:pPr>
        <w:suppressAutoHyphens w:val="0"/>
        <w:ind w:left="6840" w:hanging="180"/>
      </w:pPr>
    </w:lvl>
  </w:abstractNum>
  <w:abstractNum w:abstractNumId="2">
    <w:nsid w:val="6106641E"/>
    <w:multiLevelType w:val="multilevel"/>
    <w:tmpl w:val="00000000"/>
    <w:lvl w:ilvl="0">
      <w:start w:val="1"/>
      <w:numFmt w:val="upperRoman"/>
      <w:lvlText w:val="%1."/>
      <w:lvlJc w:val="right"/>
      <w:pPr>
        <w:suppressAutoHyphens w:val="0"/>
        <w:ind w:left="720" w:hanging="360"/>
      </w:pPr>
    </w:lvl>
    <w:lvl w:ilvl="1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>
      <w:start w:val="1"/>
      <w:numFmt w:val="decimal"/>
      <w:lvlText w:val="%4."/>
      <w:lvlJc w:val="left"/>
      <w:pPr>
        <w:suppressAutoHyphens w:val="0"/>
        <w:ind w:left="2880" w:hanging="360"/>
      </w:pPr>
    </w:lvl>
    <w:lvl w:ilvl="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>
      <w:start w:val="1"/>
      <w:numFmt w:val="decimal"/>
      <w:lvlText w:val="%7."/>
      <w:lvlJc w:val="left"/>
      <w:pPr>
        <w:suppressAutoHyphens w:val="0"/>
        <w:ind w:left="5040" w:hanging="360"/>
      </w:pPr>
    </w:lvl>
    <w:lvl w:ilvl="7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57CB"/>
    <w:rsid w:val="003115C4"/>
    <w:rsid w:val="00A77B3E"/>
    <w:rsid w:val="00CA2A55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57C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deksu">
    <w:name w:val="Łącze indeksu"/>
    <w:rsid w:val="001D57CB"/>
    <w:rPr>
      <w:color w:val="auto"/>
      <w:sz w:val="24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XXVIII/165/2026 z dnia 5 lutego 2026 r.</dc:title>
  <dc:subject>w sprawie programu osłonowego „Korpus Wsparcia Seniorów” na rok 2026^w^Gminie Lipno</dc:subject>
  <dc:creator>ibieganska</dc:creator>
  <cp:lastModifiedBy>Irena Biegańska</cp:lastModifiedBy>
  <cp:revision>2</cp:revision>
  <dcterms:created xsi:type="dcterms:W3CDTF">2026-02-10T13:49:00Z</dcterms:created>
  <dcterms:modified xsi:type="dcterms:W3CDTF">2026-02-10T13:49:00Z</dcterms:modified>
  <cp:category>Akt prawny</cp:category>
</cp:coreProperties>
</file>