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80359">
      <w:pPr>
        <w:jc w:val="center"/>
        <w:rPr>
          <w:b/>
          <w:caps/>
        </w:rPr>
      </w:pPr>
      <w:r>
        <w:rPr>
          <w:b/>
          <w:caps/>
        </w:rPr>
        <w:t>Uchwała nr XXXII/199/2026</w:t>
      </w:r>
      <w:r>
        <w:rPr>
          <w:b/>
          <w:caps/>
        </w:rPr>
        <w:br/>
        <w:t>Rady Gminy Lipno</w:t>
      </w:r>
    </w:p>
    <w:p w:rsidR="00A77B3E" w:rsidRDefault="00380359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380359">
      <w:pPr>
        <w:keepNext/>
        <w:spacing w:after="480"/>
        <w:jc w:val="center"/>
      </w:pPr>
      <w:r>
        <w:rPr>
          <w:b/>
        </w:rPr>
        <w:t>w sprawie rozpatrzenia skargi na działalność Wójta Gminy Lipno</w:t>
      </w:r>
    </w:p>
    <w:p w:rsidR="00A77B3E" w:rsidRDefault="00380359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(tekst jedn. Dz. U. z 2026 r. poz. 662)</w:t>
      </w:r>
      <w:r>
        <w:t xml:space="preserve"> oraz art. 229 </w:t>
      </w:r>
      <w:proofErr w:type="spellStart"/>
      <w:r>
        <w:t>pkt</w:t>
      </w:r>
      <w:proofErr w:type="spellEnd"/>
      <w:r>
        <w:t> 3 ustawy z dnia 14 czerwca 1960 r. – Kodeks postępowania administracyjnego (tekst jedn. Dz. U. z 2025 r. poz. 1691) uchwala się, co następuje:</w:t>
      </w:r>
    </w:p>
    <w:p w:rsidR="00A77B3E" w:rsidRDefault="00380359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Uznaje się skargę na działalność Wójta Gminy Lipno za bezzasadną, z  przyczyn wskazanych </w:t>
      </w:r>
      <w:r>
        <w:t>w uzasadnieniu do uchwały stanowiącym jej integralną część.</w:t>
      </w:r>
    </w:p>
    <w:p w:rsidR="00A77B3E" w:rsidRDefault="0038035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Przewodniczącemu Rady Gminy Lipno.</w:t>
      </w:r>
    </w:p>
    <w:p w:rsidR="00A77B3E" w:rsidRDefault="0038035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8035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F61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1DB" w:rsidRDefault="00BF61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1DB" w:rsidRDefault="0038035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F61DB" w:rsidRDefault="00380359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 Rady Gminy Lipno w dniu 29 kwietnia 2026 r. wpłynęła skarga na działalność Wójta Gminy Lipno, w której Skarżący zarzucił Wójtowi </w:t>
      </w:r>
      <w:r>
        <w:rPr>
          <w:szCs w:val="20"/>
        </w:rPr>
        <w:t>Gminy Lipno zabranie numerów porządkowych budynków poprzez przypisanie ich nowo wybudowanym budynkom znajdującym się na sąsiedniej nieruchomości, oraz wniósł o ich zwrot.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229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3 ustawy z dnia 14 czerwca 1960 r. – Kodeks postępowania admin</w:t>
      </w:r>
      <w:r>
        <w:rPr>
          <w:szCs w:val="20"/>
        </w:rPr>
        <w:t xml:space="preserve">istracyjnego (tekst jedn. Dz. U. z 2025 r. poz. 1691), jeżeli przepisy szczególne nie określają innych organów właściwych do rozpatrywania skarg, organem właściwym do rozpatrzenia skargi dotyczącej zadań lub działalności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 xml:space="preserve">                   i kierownik</w:t>
      </w:r>
      <w:r>
        <w:rPr>
          <w:szCs w:val="20"/>
        </w:rPr>
        <w:t>ów gminnych jednostek organizacyjnych, z wyjątkiem spraw określonych w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2, jest rada gminy.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Komisja Skarg, Wniosków i Petycji na posiedzeniu w dniu 19 maja 2026 r. zapoznała się z treścią skargi oraz wyjaśnieniami złożonymi przez Wójta Gminy Lipno w zak</w:t>
      </w:r>
      <w:r>
        <w:rPr>
          <w:szCs w:val="20"/>
        </w:rPr>
        <w:t>resie podnoszonych zarzutów i ustaliła, co następuje: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treści skargi wskazano, że jeden z numerów porządkowych nieruchomości zabudowanej dwoma domami i garażem, widniejący – według twierdzeń Skarżącego – na tej nieruchomości od 1951 r., został przypisany </w:t>
      </w:r>
      <w:r>
        <w:rPr>
          <w:szCs w:val="20"/>
        </w:rPr>
        <w:t>sąsiedniej nieruchomości, na której realizowana jest nowa zabudowa mieszkaniowa. Skarżący podniósł, że działanie to stanowiło formę wywłaszczenia nieruchomości oraz doprowadziło do obniżenia jej wartości. Wniósł również o uchylenie decyzji Wójta i przywróc</w:t>
      </w:r>
      <w:r>
        <w:rPr>
          <w:szCs w:val="20"/>
        </w:rPr>
        <w:t>enie dotychczasowej numeracji porządkowej.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 wyjaśnień przedłożonych Komisji Skarg, Wniosków i Petycji wynika, że analiza materiałów archiwalnych znajdujących się w Referacie Ochrony Środowiska, Nieruchomości i Gospodarki Przestrzennej Urzędu Gminy Lipno, </w:t>
      </w:r>
      <w:r>
        <w:rPr>
          <w:szCs w:val="20"/>
        </w:rPr>
        <w:t>obejmująca dokumentację ewidencyjną oraz mapy, wykazała, że nieruchomości Skarżącego nigdy nie przypisano dwóch numerów porządkowych, lecz wyłącznie jeden numer porządkowy, którym Skarżący posługuje się obecnie. Okoliczność tę potwierdza również dokumentac</w:t>
      </w:r>
      <w:r>
        <w:rPr>
          <w:szCs w:val="20"/>
        </w:rPr>
        <w:t>ja znajdująca się w Referacie Podatków i Opłat Lokalnych Urzędu Gminy Lipno oraz dokumentacja archiwalna Urzędu Stanu Cywilnego w Lipnie, zwanego dalej „USC", w szczególności karta osobowa mieszkańca, z której wynika wcześniejsze zameldowanie Skarżącego po</w:t>
      </w:r>
      <w:r>
        <w:rPr>
          <w:szCs w:val="20"/>
        </w:rPr>
        <w:t>d tym właśnie adresem.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Z dokumentacji USC wynika jedynie, że w 1951 r. poprzednicy prawni Skarżącego zostali zameldowani pod innym adresem porządkowym. W okresie tym kwestie meldunkowe regulowało rozporządzenie Prezydenta Rzeczypospolitej o ewidencji i kon</w:t>
      </w:r>
      <w:r>
        <w:rPr>
          <w:szCs w:val="20"/>
        </w:rPr>
        <w:t>troli ruchu ludności, przewidujące obowiązek zgłoszenia miejsca zamieszkania na podstawie odpowiednich dokumentów meldunkowych. Obecnie jednak brak jest w zasobach USC dokumentacji pozwalającej ustalić, jaki dokument stanowił podstawę dokonania meldunku po</w:t>
      </w:r>
      <w:r>
        <w:rPr>
          <w:szCs w:val="20"/>
        </w:rPr>
        <w:t>d wskazanym adresem.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Jednocześnie Skarżący nie przedłożył żadnych dokumentów potwierdzających formalne nadanie spornej nieruchomości drugiego numeru porządkowego ani wydania w tym zakresie aktu administracyjnego przez właściwy organ.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Analiza dokumentacji p</w:t>
      </w:r>
      <w:r>
        <w:rPr>
          <w:szCs w:val="20"/>
        </w:rPr>
        <w:t>odatkowej dotyczącej nieruchomości Skarżącego - wbrew jego twierdzeniom - również nie wykazała istnienia dokumentu potwierdzającego adres do doręczeń inny niż spornej nieruchomości.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Należy podkreślić, że ustalenie numeru porządkowego nieruchomości ma chara</w:t>
      </w:r>
      <w:r>
        <w:rPr>
          <w:szCs w:val="20"/>
        </w:rPr>
        <w:t>kter czynności materialno-technicznej wykonywanej na podstawie przepisów ustawy z dnia 17 maja 1989 r. – Prawo geodezyjne                                       i kartograficzne oraz aktów wykonawczych wydanych na jej podstawie. Czynność ta nie stanowi decy</w:t>
      </w:r>
      <w:r>
        <w:rPr>
          <w:szCs w:val="20"/>
        </w:rPr>
        <w:t>zji administracyjnej w rozumieniu przepisów Kodeksu postępowania administracyjnego, wobec czego żądanie uchylenia decyzji nie znajduje podstaw prawnych. Stanowisko takie znajduje potwierdzenie w orzecznictwie sądów administracyjnych, zgodnie z którym ustal</w:t>
      </w:r>
      <w:r>
        <w:rPr>
          <w:szCs w:val="20"/>
        </w:rPr>
        <w:t>anie numerów porządkowych nieruchomości należy do czynności materialno-technicznych organu gminy i nie następuje w drodze decyzji administracyjnej (por. wyrok NSA z dnia 1 lutego 2008 r., sygn. akt I OSK 6/07, wyrok WSA w Poznaniu z dnia 26 marca 2025 r. s</w:t>
      </w:r>
      <w:r>
        <w:rPr>
          <w:szCs w:val="20"/>
        </w:rPr>
        <w:t>ygn. II SA/Po 34/25).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Zasady nadawania numeracji porządkowej nieruchomości reguluje rozporządzenie Ministra Rozwoju, Pracy i Technologii z dnia 21 lipca 2021 r. w sprawie ewidencji miejscowości, ulic i adresów (Dz. U. z 2021 r. poz. 1368). Zgodnie z § 6 us</w:t>
      </w:r>
      <w:r>
        <w:rPr>
          <w:szCs w:val="20"/>
        </w:rPr>
        <w:t xml:space="preserve">t. 1 i 2 tego rozporządzenia numery porządkowe przyjmują postać liczb całkowitych w przedziale od 1 do n. W przypadku braku możliwości nadania numeru porządkowego w postaci wyłącznie liczby całkowitej stosuje się liczbę całkowitą uzupełnioną wielką literą </w:t>
      </w:r>
      <w:r>
        <w:rPr>
          <w:szCs w:val="20"/>
        </w:rPr>
        <w:t xml:space="preserve">alfabetu łacińskiego od A do </w:t>
      </w:r>
      <w:r>
        <w:rPr>
          <w:szCs w:val="20"/>
        </w:rPr>
        <w:lastRenderedPageBreak/>
        <w:t>Z, wyłączając litery I, O, Q, a w przypadku wyczerpania liter alfabetu łacińskiego dopuszcza się użycie                       w numerze drugiej litery alfabetu łacińskiego od A do Z (10AA, 10AB, ...), także wyłączając litery I,</w:t>
      </w:r>
      <w:r>
        <w:rPr>
          <w:szCs w:val="20"/>
        </w:rPr>
        <w:t xml:space="preserve"> O oraz Q.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Jeżeli zatem drugi z budynków Skarżącego, dotychczas nieposiadający nadanego numeru porządkowego, stanowi obiekt podlegający numeracji zgodnie z ww. przepisami, możliwe jest nadanie mu numeru porządkowego obejmującego drugą literę alfabetu łaciń</w:t>
      </w:r>
      <w:r>
        <w:rPr>
          <w:szCs w:val="20"/>
        </w:rPr>
        <w:t>skiego.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W świetle zgromadzonego materiału Komisja Skarg, Wniosków i Petycji uznała, że brak jest podstaw do stwierdzenia nieprawidłowości w działaniach Wójta Gminy Lipno. Nie wykazano bowiem, aby doszło do bezprawnej zmiany numeracji porządkowej nieruchomo</w:t>
      </w:r>
      <w:r>
        <w:rPr>
          <w:szCs w:val="20"/>
        </w:rPr>
        <w:t>ści Skarżącego, ani by organ dokonał czynności naruszających prawa własności Skarżącego.</w:t>
      </w:r>
    </w:p>
    <w:p w:rsidR="00BF61DB" w:rsidRDefault="00380359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Komisja Skarg, Wniosków i Petycji wniosła o uznanie skargi na działalność Wójta Gminy Lipno za bezzasadną.</w:t>
      </w:r>
    </w:p>
    <w:p w:rsidR="00BF61DB" w:rsidRDefault="00380359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Stosownie do art. 239 § 1 ustawy</w:t>
      </w:r>
      <w:r>
        <w:rPr>
          <w:szCs w:val="20"/>
        </w:rPr>
        <w:t xml:space="preserve"> z dnia 14 czerwca 1960 r. – Kodeks postępowania administracyjnego (tekst jedn. Dz. U. z 2025 r. poz. 1691) poucza się Skarżącego, że w przypadku gdy skarga, w wyniku jej rozpatrzenia, została uznana za bezzasadną, a jej bezzasadność wykazano w odpowiedzi </w:t>
      </w:r>
      <w:r>
        <w:rPr>
          <w:szCs w:val="20"/>
        </w:rPr>
        <w:t>na skargę, ponowienie skargi bez wskazania nowych okoliczności może skutkować podtrzymaniem poprzedniego stanowiska przez organ właściwy do rozpatrzenia skargi, bez zawiadamiania Skarżącego.</w:t>
      </w:r>
    </w:p>
    <w:p w:rsidR="00BF61DB" w:rsidRDefault="00380359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BF61DB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1DB" w:rsidRDefault="00BF61D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1DB" w:rsidRDefault="00BF61DB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380359">
                <w:rPr>
                  <w:color w:val="000000"/>
                  <w:szCs w:val="20"/>
                </w:rPr>
                <w:t>Przewodnicząc</w:t>
              </w:r>
              <w:r w:rsidR="00380359">
                <w:rPr>
                  <w:color w:val="000000"/>
                  <w:szCs w:val="20"/>
                </w:rPr>
                <w:t>y Rady Gminy Lipno</w:t>
              </w:r>
            </w:fldSimple>
            <w:r w:rsidR="00380359">
              <w:rPr>
                <w:color w:val="000000"/>
                <w:szCs w:val="20"/>
              </w:rPr>
              <w:br/>
            </w:r>
            <w:r w:rsidR="00380359">
              <w:rPr>
                <w:color w:val="000000"/>
                <w:szCs w:val="20"/>
              </w:rPr>
              <w:br/>
            </w:r>
            <w:r w:rsidR="00380359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380359">
                <w:rPr>
                  <w:b/>
                  <w:color w:val="000000"/>
                  <w:szCs w:val="20"/>
                </w:rPr>
                <w:t>Bartosz</w:t>
              </w:r>
            </w:fldSimple>
            <w:r w:rsidR="00380359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380359">
                <w:rPr>
                  <w:b/>
                  <w:color w:val="000000"/>
                  <w:szCs w:val="20"/>
                </w:rPr>
                <w:t>Zięba</w:t>
              </w:r>
            </w:fldSimple>
            <w:r w:rsidR="00380359">
              <w:rPr>
                <w:b/>
                <w:color w:val="000000"/>
                <w:szCs w:val="20"/>
              </w:rPr>
              <w:t> </w:t>
            </w:r>
          </w:p>
        </w:tc>
      </w:tr>
    </w:tbl>
    <w:p w:rsidR="00BF61DB" w:rsidRDefault="00BF61DB">
      <w:pPr>
        <w:keepNext/>
        <w:rPr>
          <w:szCs w:val="20"/>
        </w:rPr>
      </w:pPr>
    </w:p>
    <w:sectPr w:rsidR="00BF61DB" w:rsidSect="00BF61D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59" w:rsidRDefault="00380359" w:rsidP="00BF61DB">
      <w:r>
        <w:separator/>
      </w:r>
    </w:p>
  </w:endnote>
  <w:endnote w:type="continuationSeparator" w:id="0">
    <w:p w:rsidR="00380359" w:rsidRDefault="00380359" w:rsidP="00BF6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F61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61DB" w:rsidRDefault="0038035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61DB" w:rsidRDefault="0038035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F61D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736C4">
            <w:rPr>
              <w:sz w:val="18"/>
            </w:rPr>
            <w:fldChar w:fldCharType="separate"/>
          </w:r>
          <w:r w:rsidR="006736C4">
            <w:rPr>
              <w:noProof/>
              <w:sz w:val="18"/>
            </w:rPr>
            <w:t>1</w:t>
          </w:r>
          <w:r w:rsidR="00BF61DB">
            <w:rPr>
              <w:sz w:val="18"/>
            </w:rPr>
            <w:fldChar w:fldCharType="end"/>
          </w:r>
        </w:p>
      </w:tc>
    </w:tr>
  </w:tbl>
  <w:p w:rsidR="00BF61DB" w:rsidRDefault="00BF61D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F61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61DB" w:rsidRDefault="0038035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F61DB" w:rsidRDefault="0038035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F61D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736C4">
            <w:rPr>
              <w:sz w:val="18"/>
            </w:rPr>
            <w:fldChar w:fldCharType="separate"/>
          </w:r>
          <w:r w:rsidR="006736C4">
            <w:rPr>
              <w:noProof/>
              <w:sz w:val="18"/>
            </w:rPr>
            <w:t>3</w:t>
          </w:r>
          <w:r w:rsidR="00BF61DB">
            <w:rPr>
              <w:sz w:val="18"/>
            </w:rPr>
            <w:fldChar w:fldCharType="end"/>
          </w:r>
        </w:p>
      </w:tc>
    </w:tr>
  </w:tbl>
  <w:p w:rsidR="00BF61DB" w:rsidRDefault="00BF61D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59" w:rsidRDefault="00380359" w:rsidP="00BF61DB">
      <w:r>
        <w:separator/>
      </w:r>
    </w:p>
  </w:footnote>
  <w:footnote w:type="continuationSeparator" w:id="0">
    <w:p w:rsidR="00380359" w:rsidRDefault="00380359" w:rsidP="00BF6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80359"/>
    <w:rsid w:val="006736C4"/>
    <w:rsid w:val="00A77B3E"/>
    <w:rsid w:val="00BF61DB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F61D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XXXII/199/2026 z dnia 28 maja 2026 r.</dc:title>
  <dc:subject>w sprawie rozpatrzenia skargi na działalność Wójta Gminy Lipno</dc:subject>
  <dc:creator>ibieganska</dc:creator>
  <cp:lastModifiedBy>Irena Biegańska</cp:lastModifiedBy>
  <cp:revision>2</cp:revision>
  <dcterms:created xsi:type="dcterms:W3CDTF">2026-06-08T08:41:00Z</dcterms:created>
  <dcterms:modified xsi:type="dcterms:W3CDTF">2026-06-08T08:41:00Z</dcterms:modified>
  <cp:category>Akt prawny</cp:category>
</cp:coreProperties>
</file>